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512E" w14:textId="51969EA0" w:rsidR="00E5339E" w:rsidRDefault="00AA307F" w:rsidP="009A79D7">
      <w:pPr>
        <w:pStyle w:val="PreformattatoHTML"/>
        <w:jc w:val="both"/>
        <w:rPr>
          <w:color w:val="444444"/>
          <w:sz w:val="24"/>
          <w:szCs w:val="24"/>
        </w:rPr>
      </w:pPr>
      <w:r w:rsidRP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AA30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curva </w:t>
      </w:r>
      <w:r w:rsidRP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AA307F">
        <w:rPr>
          <w:rFonts w:asciiTheme="minorHAnsi" w:eastAsiaTheme="minorHAnsi" w:hAnsiTheme="minorHAnsi" w:cstheme="minorBidi"/>
          <w:sz w:val="22"/>
          <w:szCs w:val="22"/>
          <w:lang w:eastAsia="en-US"/>
        </w:rPr>
        <w:t>ei contagi dimostra che</w:t>
      </w:r>
      <w:r w:rsidRP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A307F">
        <w:rPr>
          <w:rFonts w:asciiTheme="minorHAnsi" w:eastAsiaTheme="minorHAnsi" w:hAnsiTheme="minorHAnsi" w:cstheme="minorBidi"/>
          <w:sz w:val="22"/>
          <w:szCs w:val="22"/>
          <w:lang w:eastAsia="en-US"/>
        </w:rPr>
        <w:t>persiste una diffusione del virus che provoca focolai anche di</w:t>
      </w:r>
      <w:r w:rsidRP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A307F">
        <w:rPr>
          <w:rFonts w:asciiTheme="minorHAnsi" w:eastAsiaTheme="minorHAnsi" w:hAnsiTheme="minorHAnsi" w:cstheme="minorBidi"/>
          <w:sz w:val="22"/>
          <w:szCs w:val="22"/>
          <w:lang w:eastAsia="en-US"/>
        </w:rPr>
        <w:t>dimensioni rilevanti</w:t>
      </w:r>
      <w:r w:rsidRP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impone di mantenere </w:t>
      </w:r>
      <w:r w:rsidRPr="00AA307F">
        <w:rPr>
          <w:rFonts w:asciiTheme="minorHAnsi" w:eastAsiaTheme="minorHAnsi" w:hAnsiTheme="minorHAnsi" w:cstheme="minorBidi"/>
          <w:sz w:val="22"/>
          <w:szCs w:val="22"/>
          <w:lang w:eastAsia="en-US"/>
        </w:rPr>
        <w:t>le disposizioni emergenziali</w:t>
      </w:r>
      <w:r w:rsid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DB2E063" w14:textId="2C8621F6" w:rsidR="00E5339E" w:rsidRPr="00E5339E" w:rsidRDefault="00E5339E" w:rsidP="009A79D7">
      <w:pPr>
        <w:pStyle w:val="PreformattatoHTML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9DD5F6" w14:textId="2D6301C3" w:rsidR="00E5339E" w:rsidRDefault="00E5339E" w:rsidP="009A79D7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>l Consiglio dei ministri, nella riunione del 7 ottobre 2020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(su </w:t>
      </w:r>
      <w:r w:rsidRPr="00E5339E">
        <w:rPr>
          <w:rFonts w:asciiTheme="minorHAnsi" w:eastAsiaTheme="minorHAnsi" w:hAnsiTheme="minorHAnsi" w:cstheme="minorBidi"/>
          <w:sz w:val="22"/>
          <w:szCs w:val="22"/>
          <w:lang w:eastAsia="en-US"/>
        </w:rPr>
        <w:t>parere del Comitato tecnico scientifico</w:t>
      </w:r>
      <w:r w:rsidR="009A79D7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ha</w:t>
      </w:r>
      <w:r w:rsidR="009A7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quindi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1" w:history="1">
        <w:r w:rsidRPr="00E5339E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deliberato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proroga dello stato di emergenza fino al 31 gennaio 2021.</w:t>
      </w:r>
    </w:p>
    <w:p w14:paraId="584DE5AD" w14:textId="77777777" w:rsidR="00E5339E" w:rsidRPr="00E5339E" w:rsidRDefault="00E5339E" w:rsidP="009A79D7">
      <w:pPr>
        <w:pStyle w:val="PreformattatoHTML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679D16" w14:textId="2C3124D2" w:rsidR="00AA307F" w:rsidRDefault="00E5339E" w:rsidP="009A79D7">
      <w:pPr>
        <w:spacing w:after="0" w:line="240" w:lineRule="auto"/>
        <w:jc w:val="both"/>
      </w:pPr>
      <w:r>
        <w:t xml:space="preserve">Conseguentemente, con il successivo </w:t>
      </w:r>
      <w:hyperlink r:id="rId12" w:history="1">
        <w:r w:rsidR="00AA307F" w:rsidRPr="00AA307F">
          <w:rPr>
            <w:rStyle w:val="Collegamentoipertestuale"/>
          </w:rPr>
          <w:t>decreto legge 7 ottobre 2020, n. 125</w:t>
        </w:r>
      </w:hyperlink>
      <w:r w:rsidR="00AA307F" w:rsidRPr="00AA307F">
        <w:t>, il Governo ha</w:t>
      </w:r>
      <w:r w:rsidR="009A79D7">
        <w:t xml:space="preserve"> adottato</w:t>
      </w:r>
      <w:r w:rsidR="00AA307F">
        <w:t xml:space="preserve"> ulteriori misure di sicurezza in relazione alla pandemia.</w:t>
      </w:r>
    </w:p>
    <w:p w14:paraId="2ACFFAE4" w14:textId="50DEBE96" w:rsidR="00E5339E" w:rsidRDefault="00E5339E" w:rsidP="009A79D7">
      <w:pPr>
        <w:jc w:val="both"/>
      </w:pPr>
    </w:p>
    <w:p w14:paraId="0C425311" w14:textId="6A9C4D1A" w:rsidR="00051094" w:rsidRPr="00051094" w:rsidRDefault="00051094" w:rsidP="00AA307F">
      <w:pPr>
        <w:jc w:val="both"/>
        <w:rPr>
          <w:b/>
          <w:bCs/>
          <w:i/>
          <w:iCs/>
        </w:rPr>
      </w:pPr>
      <w:r w:rsidRPr="00051094">
        <w:rPr>
          <w:b/>
          <w:bCs/>
          <w:i/>
          <w:iCs/>
        </w:rPr>
        <w:t>Articolo 1</w:t>
      </w:r>
    </w:p>
    <w:p w14:paraId="10E8B301" w14:textId="304CC91D" w:rsidR="00E5339E" w:rsidRDefault="00E5339E" w:rsidP="00AA307F">
      <w:pPr>
        <w:jc w:val="both"/>
      </w:pPr>
      <w:r>
        <w:t>Con l’articolo 1, sono stati modificati i decreti-legge 18, 19</w:t>
      </w:r>
      <w:r w:rsidR="000C612D">
        <w:t>, 33</w:t>
      </w:r>
      <w:r>
        <w:t xml:space="preserve"> e 83 del 2020.</w:t>
      </w:r>
    </w:p>
    <w:p w14:paraId="6879F5B6" w14:textId="6BF14720" w:rsidR="008A378C" w:rsidRDefault="008A378C" w:rsidP="00AA307F">
      <w:pPr>
        <w:jc w:val="both"/>
      </w:pPr>
      <w:r>
        <w:t>Più in particolare, per quanto riguarda le materie d’interesse, rilevano le modifiche ai decreti-legge 19</w:t>
      </w:r>
      <w:r w:rsidR="000C612D">
        <w:t>,</w:t>
      </w:r>
      <w:r>
        <w:t xml:space="preserve"> 33</w:t>
      </w:r>
      <w:r w:rsidR="000C612D">
        <w:t xml:space="preserve"> e 83</w:t>
      </w:r>
      <w:r>
        <w:t>.</w:t>
      </w:r>
    </w:p>
    <w:p w14:paraId="5910BB7E" w14:textId="2CA2B093" w:rsidR="008A378C" w:rsidRDefault="008A378C" w:rsidP="00AA307F">
      <w:pPr>
        <w:jc w:val="both"/>
      </w:pPr>
      <w:r>
        <w:t xml:space="preserve">Con riferimento al </w:t>
      </w:r>
      <w:r w:rsidRPr="00051094">
        <w:rPr>
          <w:b/>
          <w:bCs/>
        </w:rPr>
        <w:t>decreto-legge 19/2020</w:t>
      </w:r>
      <w:r>
        <w:t xml:space="preserve"> le modifiche riguardano i primi due commi dell’articolo 1:</w:t>
      </w:r>
    </w:p>
    <w:p w14:paraId="411A02D8" w14:textId="12DDE5B9" w:rsidR="008A378C" w:rsidRDefault="008A378C" w:rsidP="008A378C">
      <w:pPr>
        <w:pStyle w:val="Paragrafoelenco"/>
        <w:numPr>
          <w:ilvl w:val="0"/>
          <w:numId w:val="1"/>
        </w:numPr>
        <w:jc w:val="both"/>
      </w:pPr>
      <w:r>
        <w:t xml:space="preserve"> al comma 1, viene esteso al 31 gennaio 2021 il termine dello stato di emergenza indicato nell’articolo 1, comma 1</w:t>
      </w:r>
    </w:p>
    <w:p w14:paraId="4BD10543" w14:textId="17EFED7B" w:rsidR="008A378C" w:rsidRPr="0067788C" w:rsidRDefault="008A378C" w:rsidP="0067788C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>nel comma 2, nell’ambito della previsione che individua e autorizza le misure da adottare a contrasto della pandemia, viene inserita una ulteriore rilevante</w:t>
      </w:r>
      <w:r w:rsidR="009A79D7">
        <w:t xml:space="preserve"> previsione</w:t>
      </w:r>
      <w:r>
        <w:t>. Si tratta, testualmente</w:t>
      </w:r>
      <w:r w:rsidR="009A79D7">
        <w:t>,</w:t>
      </w:r>
      <w:r>
        <w:t xml:space="preserve"> dell’</w:t>
      </w:r>
      <w:r w:rsidR="0067788C">
        <w:t>“</w:t>
      </w:r>
      <w:r w:rsidR="0067788C" w:rsidRPr="0067788C">
        <w:rPr>
          <w:i/>
          <w:iCs/>
        </w:rPr>
        <w:t>o</w:t>
      </w:r>
      <w:r w:rsidRPr="0067788C">
        <w:rPr>
          <w:i/>
          <w:iCs/>
        </w:rPr>
        <w:t>bbligo di avere sempre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con s</w:t>
      </w:r>
      <w:r w:rsidR="0067788C">
        <w:rPr>
          <w:i/>
          <w:iCs/>
        </w:rPr>
        <w:t xml:space="preserve">é </w:t>
      </w:r>
      <w:r w:rsidRPr="0067788C">
        <w:rPr>
          <w:i/>
          <w:iCs/>
        </w:rPr>
        <w:t>dispositivi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di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protezione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delle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vie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respiratorie, con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possibilit</w:t>
      </w:r>
      <w:r w:rsidR="0067788C">
        <w:rPr>
          <w:i/>
          <w:iCs/>
        </w:rPr>
        <w:t xml:space="preserve">à </w:t>
      </w:r>
      <w:r w:rsidRPr="0067788C">
        <w:rPr>
          <w:i/>
          <w:iCs/>
        </w:rPr>
        <w:t>di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prevederne</w:t>
      </w:r>
      <w:r w:rsidR="0067788C" w:rsidRPr="0067788C">
        <w:rPr>
          <w:i/>
          <w:iCs/>
        </w:rPr>
        <w:t xml:space="preserve"> </w:t>
      </w:r>
      <w:r w:rsidRPr="0067788C">
        <w:rPr>
          <w:i/>
          <w:iCs/>
        </w:rPr>
        <w:t>l'obbligatoriet</w:t>
      </w:r>
      <w:r w:rsidR="0067788C" w:rsidRPr="0067788C">
        <w:rPr>
          <w:i/>
          <w:iCs/>
        </w:rPr>
        <w:t>à</w:t>
      </w:r>
      <w:r w:rsidRPr="0067788C">
        <w:rPr>
          <w:i/>
          <w:iCs/>
        </w:rPr>
        <w:t xml:space="preserve"> dell'utilizzo nei luoghi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al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chiuso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diversi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dalle</w:t>
      </w:r>
      <w:r w:rsidR="0067788C" w:rsidRPr="0067788C">
        <w:rPr>
          <w:i/>
          <w:iCs/>
        </w:rPr>
        <w:t xml:space="preserve"> </w:t>
      </w:r>
      <w:r w:rsidRPr="0067788C">
        <w:rPr>
          <w:i/>
          <w:iCs/>
        </w:rPr>
        <w:t>abitazioni private e in tutti i luoghi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all'aperto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a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eccezione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dei</w:t>
      </w:r>
      <w:r w:rsidR="0067788C" w:rsidRPr="0067788C">
        <w:rPr>
          <w:i/>
          <w:iCs/>
        </w:rPr>
        <w:t xml:space="preserve"> </w:t>
      </w:r>
      <w:r w:rsidRPr="0067788C">
        <w:rPr>
          <w:i/>
          <w:iCs/>
        </w:rPr>
        <w:t>casi in cui, per le caratteristiche dei luoghi o per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le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circostanze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di fatto,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sia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garantita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in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modo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continuativo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la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condizione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di</w:t>
      </w:r>
      <w:r w:rsidR="0067788C" w:rsidRPr="0067788C">
        <w:rPr>
          <w:i/>
          <w:iCs/>
        </w:rPr>
        <w:t xml:space="preserve"> </w:t>
      </w:r>
      <w:r w:rsidRPr="0067788C">
        <w:rPr>
          <w:i/>
          <w:iCs/>
        </w:rPr>
        <w:t>isolamento rispetto a persone non conviventi, e comunque con salvezza</w:t>
      </w:r>
      <w:r w:rsidR="0067788C" w:rsidRPr="0067788C">
        <w:rPr>
          <w:i/>
          <w:iCs/>
        </w:rPr>
        <w:t xml:space="preserve"> </w:t>
      </w:r>
      <w:r w:rsidRPr="0067788C">
        <w:rPr>
          <w:i/>
          <w:iCs/>
        </w:rPr>
        <w:t>dei protocolli e delle linee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guida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anti-contagio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previsti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per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le</w:t>
      </w:r>
      <w:r w:rsidR="0067788C">
        <w:rPr>
          <w:i/>
          <w:iCs/>
        </w:rPr>
        <w:t xml:space="preserve"> </w:t>
      </w:r>
      <w:r w:rsidRPr="0067788C">
        <w:rPr>
          <w:i/>
          <w:iCs/>
        </w:rPr>
        <w:t>attivit</w:t>
      </w:r>
      <w:r w:rsidR="0067788C">
        <w:rPr>
          <w:i/>
          <w:iCs/>
        </w:rPr>
        <w:t xml:space="preserve">à </w:t>
      </w:r>
      <w:r w:rsidRPr="0067788C">
        <w:rPr>
          <w:i/>
          <w:iCs/>
        </w:rPr>
        <w:t>economiche, produttive, amministrative e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sociali,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nonch</w:t>
      </w:r>
      <w:r w:rsidR="0067788C">
        <w:rPr>
          <w:i/>
          <w:iCs/>
        </w:rPr>
        <w:t>é</w:t>
      </w:r>
      <w:r w:rsidR="0067788C" w:rsidRPr="0067788C">
        <w:rPr>
          <w:i/>
          <w:iCs/>
        </w:rPr>
        <w:t xml:space="preserve"> </w:t>
      </w:r>
      <w:r w:rsidRPr="0067788C">
        <w:rPr>
          <w:i/>
          <w:iCs/>
        </w:rPr>
        <w:t>delle linee guida per il consumo di cibi e bevande, restando</w:t>
      </w:r>
      <w:r w:rsidR="0067788C">
        <w:rPr>
          <w:i/>
          <w:iCs/>
        </w:rPr>
        <w:t xml:space="preserve">  </w:t>
      </w:r>
      <w:r w:rsidRPr="0067788C">
        <w:rPr>
          <w:i/>
          <w:iCs/>
        </w:rPr>
        <w:t>esclusi</w:t>
      </w:r>
      <w:r w:rsidR="0067788C" w:rsidRPr="0067788C">
        <w:rPr>
          <w:i/>
          <w:iCs/>
        </w:rPr>
        <w:t xml:space="preserve"> </w:t>
      </w:r>
      <w:r w:rsidRPr="0067788C">
        <w:rPr>
          <w:i/>
          <w:iCs/>
        </w:rPr>
        <w:t xml:space="preserve">da detti obblighi: </w:t>
      </w:r>
    </w:p>
    <w:p w14:paraId="2CC3BE2C" w14:textId="093F1B9E" w:rsidR="008A378C" w:rsidRPr="0067788C" w:rsidRDefault="0067788C" w:rsidP="0067788C">
      <w:pPr>
        <w:pStyle w:val="Paragrafoelenco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8A378C" w:rsidRPr="0067788C">
        <w:rPr>
          <w:i/>
          <w:iCs/>
        </w:rPr>
        <w:t>1) i soggetti che stanno svolgendo attivit</w:t>
      </w:r>
      <w:r>
        <w:rPr>
          <w:i/>
          <w:iCs/>
        </w:rPr>
        <w:t>à</w:t>
      </w:r>
      <w:r w:rsidR="008A378C" w:rsidRPr="0067788C">
        <w:rPr>
          <w:i/>
          <w:iCs/>
        </w:rPr>
        <w:t xml:space="preserve"> sportiva; </w:t>
      </w:r>
    </w:p>
    <w:p w14:paraId="6C6367DC" w14:textId="664467D0" w:rsidR="008A378C" w:rsidRPr="0067788C" w:rsidRDefault="0067788C" w:rsidP="0067788C">
      <w:pPr>
        <w:pStyle w:val="Paragrafoelenco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8A378C" w:rsidRPr="0067788C">
        <w:rPr>
          <w:i/>
          <w:iCs/>
        </w:rPr>
        <w:t>2) i bambini di et</w:t>
      </w:r>
      <w:r>
        <w:rPr>
          <w:i/>
          <w:iCs/>
        </w:rPr>
        <w:t>à</w:t>
      </w:r>
      <w:r w:rsidR="008A378C" w:rsidRPr="0067788C">
        <w:rPr>
          <w:i/>
          <w:iCs/>
        </w:rPr>
        <w:t xml:space="preserve"> inferiore ai sei anni; </w:t>
      </w:r>
    </w:p>
    <w:p w14:paraId="12288F68" w14:textId="7F7BF5EE" w:rsidR="008A378C" w:rsidRPr="0067788C" w:rsidRDefault="0067788C" w:rsidP="0067788C">
      <w:pPr>
        <w:pStyle w:val="Paragrafoelenco"/>
        <w:jc w:val="both"/>
      </w:pPr>
      <w:r>
        <w:rPr>
          <w:i/>
          <w:iCs/>
        </w:rPr>
        <w:t xml:space="preserve">      </w:t>
      </w:r>
      <w:r w:rsidR="008A378C" w:rsidRPr="0067788C">
        <w:rPr>
          <w:i/>
          <w:iCs/>
        </w:rPr>
        <w:t xml:space="preserve">3) i soggetti con </w:t>
      </w:r>
      <w:r w:rsidR="009A79D7" w:rsidRPr="0067788C">
        <w:rPr>
          <w:i/>
          <w:iCs/>
        </w:rPr>
        <w:t>patologie</w:t>
      </w:r>
      <w:r w:rsidR="009A79D7">
        <w:rPr>
          <w:i/>
          <w:iCs/>
        </w:rPr>
        <w:t xml:space="preserve"> o disabilità</w:t>
      </w:r>
      <w:r>
        <w:rPr>
          <w:i/>
          <w:iCs/>
        </w:rPr>
        <w:t xml:space="preserve"> </w:t>
      </w:r>
      <w:r w:rsidR="008A378C" w:rsidRPr="0067788C">
        <w:rPr>
          <w:i/>
          <w:iCs/>
        </w:rPr>
        <w:t>incompatibili</w:t>
      </w:r>
      <w:r>
        <w:rPr>
          <w:i/>
          <w:iCs/>
        </w:rPr>
        <w:t xml:space="preserve"> </w:t>
      </w:r>
      <w:r w:rsidR="008A378C" w:rsidRPr="0067788C">
        <w:rPr>
          <w:i/>
          <w:iCs/>
        </w:rPr>
        <w:t>con</w:t>
      </w:r>
      <w:r w:rsidRPr="0067788C">
        <w:rPr>
          <w:i/>
          <w:iCs/>
        </w:rPr>
        <w:t xml:space="preserve"> </w:t>
      </w:r>
      <w:r w:rsidR="008A378C" w:rsidRPr="0067788C">
        <w:rPr>
          <w:i/>
          <w:iCs/>
        </w:rPr>
        <w:t>l'uso della mascherina, nonch</w:t>
      </w:r>
      <w:r>
        <w:rPr>
          <w:i/>
          <w:iCs/>
        </w:rPr>
        <w:t xml:space="preserve">é </w:t>
      </w:r>
      <w:r w:rsidR="008A378C" w:rsidRPr="0067788C">
        <w:rPr>
          <w:i/>
          <w:iCs/>
        </w:rPr>
        <w:t>coloro</w:t>
      </w:r>
      <w:r>
        <w:rPr>
          <w:i/>
          <w:iCs/>
        </w:rPr>
        <w:t xml:space="preserve"> </w:t>
      </w:r>
      <w:r w:rsidR="008A378C" w:rsidRPr="0067788C">
        <w:rPr>
          <w:i/>
          <w:iCs/>
        </w:rPr>
        <w:t>che</w:t>
      </w:r>
      <w:r>
        <w:rPr>
          <w:i/>
          <w:iCs/>
        </w:rPr>
        <w:t xml:space="preserve"> </w:t>
      </w:r>
      <w:r w:rsidR="008A378C" w:rsidRPr="0067788C">
        <w:rPr>
          <w:i/>
          <w:iCs/>
        </w:rPr>
        <w:t>per</w:t>
      </w:r>
      <w:r>
        <w:rPr>
          <w:i/>
          <w:iCs/>
        </w:rPr>
        <w:t xml:space="preserve"> </w:t>
      </w:r>
      <w:r w:rsidR="008A378C" w:rsidRPr="0067788C">
        <w:rPr>
          <w:i/>
          <w:iCs/>
        </w:rPr>
        <w:t>interagire</w:t>
      </w:r>
      <w:r>
        <w:rPr>
          <w:i/>
          <w:iCs/>
        </w:rPr>
        <w:t xml:space="preserve"> </w:t>
      </w:r>
      <w:r w:rsidR="008A378C" w:rsidRPr="0067788C">
        <w:rPr>
          <w:i/>
          <w:iCs/>
        </w:rPr>
        <w:t>con</w:t>
      </w:r>
      <w:r>
        <w:rPr>
          <w:i/>
          <w:iCs/>
        </w:rPr>
        <w:t xml:space="preserve"> </w:t>
      </w:r>
      <w:r w:rsidR="008A378C" w:rsidRPr="0067788C">
        <w:rPr>
          <w:i/>
          <w:iCs/>
        </w:rPr>
        <w:t>i</w:t>
      </w:r>
      <w:r w:rsidRPr="0067788C">
        <w:rPr>
          <w:i/>
          <w:iCs/>
        </w:rPr>
        <w:t xml:space="preserve"> </w:t>
      </w:r>
      <w:r w:rsidR="008A378C" w:rsidRPr="0067788C">
        <w:rPr>
          <w:i/>
          <w:iCs/>
        </w:rPr>
        <w:t>predetti versino nella stessa incompatibilità</w:t>
      </w:r>
      <w:r w:rsidR="008A378C" w:rsidRPr="0067788C">
        <w:t>”</w:t>
      </w:r>
      <w:r w:rsidR="009A79D7">
        <w:t>.</w:t>
      </w:r>
    </w:p>
    <w:p w14:paraId="70118CE9" w14:textId="2FACC627" w:rsidR="008A378C" w:rsidRDefault="008A378C" w:rsidP="0067788C">
      <w:pPr>
        <w:pStyle w:val="Paragrafoelenco"/>
        <w:jc w:val="both"/>
      </w:pPr>
    </w:p>
    <w:p w14:paraId="59B727E6" w14:textId="5B808D3F" w:rsidR="0067788C" w:rsidRDefault="0067788C" w:rsidP="00D04F75">
      <w:pPr>
        <w:jc w:val="both"/>
      </w:pPr>
      <w:r>
        <w:t>Va rilevato</w:t>
      </w:r>
      <w:r w:rsidR="00D04F75">
        <w:t xml:space="preserve"> </w:t>
      </w:r>
      <w:r>
        <w:t xml:space="preserve">che la norma </w:t>
      </w:r>
      <w:r w:rsidR="009A79D7">
        <w:t xml:space="preserve">– nella logica del necessario coordinamento tra attività legislativa e regolamentare di Parlamento e Governo, introdotta con il DL 33/2020 - </w:t>
      </w:r>
      <w:r>
        <w:t xml:space="preserve">pone i presupposti </w:t>
      </w:r>
      <w:r w:rsidR="00D04F75">
        <w:t xml:space="preserve">normativi </w:t>
      </w:r>
      <w:r w:rsidR="00051094">
        <w:t xml:space="preserve">(ed i limiti) </w:t>
      </w:r>
      <w:r>
        <w:t xml:space="preserve">perché </w:t>
      </w:r>
      <w:r w:rsidR="009A79D7">
        <w:t xml:space="preserve">sia </w:t>
      </w:r>
      <w:r>
        <w:t xml:space="preserve">il futuro DPCM </w:t>
      </w:r>
      <w:r w:rsidR="009A79D7">
        <w:t xml:space="preserve">ad </w:t>
      </w:r>
      <w:r>
        <w:t>introdurre</w:t>
      </w:r>
      <w:r w:rsidR="009A79D7">
        <w:t xml:space="preserve"> legittimamente</w:t>
      </w:r>
      <w:r>
        <w:t xml:space="preserve"> disposizioni </w:t>
      </w:r>
      <w:r w:rsidR="009A79D7">
        <w:t xml:space="preserve">puntuali, </w:t>
      </w:r>
      <w:r>
        <w:t>rispondenti a</w:t>
      </w:r>
      <w:r w:rsidR="009A79D7">
        <w:t xml:space="preserve">lla </w:t>
      </w:r>
      <w:r w:rsidR="00D04F75">
        <w:t xml:space="preserve">generale </w:t>
      </w:r>
      <w:r w:rsidR="009A79D7">
        <w:t xml:space="preserve">previsione </w:t>
      </w:r>
      <w:r>
        <w:t>di legge.</w:t>
      </w:r>
    </w:p>
    <w:p w14:paraId="700041B9" w14:textId="35FF68AF" w:rsidR="00051094" w:rsidRPr="00051094" w:rsidRDefault="00051094" w:rsidP="00051094">
      <w:pPr>
        <w:jc w:val="both"/>
        <w:rPr>
          <w:b/>
          <w:bCs/>
        </w:rPr>
      </w:pPr>
      <w:r w:rsidRPr="00051094">
        <w:rPr>
          <w:b/>
          <w:bCs/>
        </w:rPr>
        <w:t xml:space="preserve">Occorre però </w:t>
      </w:r>
      <w:r w:rsidR="009A79D7">
        <w:rPr>
          <w:b/>
          <w:bCs/>
        </w:rPr>
        <w:t xml:space="preserve">evidenziare </w:t>
      </w:r>
      <w:r w:rsidRPr="00051094">
        <w:rPr>
          <w:b/>
          <w:bCs/>
        </w:rPr>
        <w:t xml:space="preserve">che l’articolo 5 del decreto – ritenendo di non dover attendere l’emanazione del futuro DPCM – dispone l’applicazione immediata di questo obbligo. </w:t>
      </w:r>
    </w:p>
    <w:p w14:paraId="184D2338" w14:textId="7521F25B" w:rsidR="0067788C" w:rsidRDefault="0067788C" w:rsidP="00D04F75">
      <w:pPr>
        <w:jc w:val="both"/>
      </w:pPr>
      <w:r>
        <w:t>Quindi, il DPCM potrà prevedere</w:t>
      </w:r>
      <w:r w:rsidR="004E42A7">
        <w:t>:</w:t>
      </w:r>
      <w:r>
        <w:t xml:space="preserve"> </w:t>
      </w:r>
    </w:p>
    <w:p w14:paraId="123A91B3" w14:textId="2BB1D540" w:rsidR="0067788C" w:rsidRDefault="0067788C" w:rsidP="0067788C">
      <w:pPr>
        <w:pStyle w:val="Paragrafoelenco"/>
        <w:numPr>
          <w:ilvl w:val="0"/>
          <w:numId w:val="1"/>
        </w:numPr>
        <w:jc w:val="both"/>
      </w:pPr>
      <w:r>
        <w:t xml:space="preserve">l’obbligo di portare la mascherina </w:t>
      </w:r>
      <w:r w:rsidR="000C612D">
        <w:t xml:space="preserve">(impropriamente chiamata “dispositivo di protezione”) </w:t>
      </w:r>
      <w:r>
        <w:t xml:space="preserve">sempre con </w:t>
      </w:r>
      <w:r w:rsidR="009A79D7">
        <w:t>sé</w:t>
      </w:r>
      <w:r>
        <w:t xml:space="preserve"> </w:t>
      </w:r>
    </w:p>
    <w:p w14:paraId="245EAEDD" w14:textId="1248F8BE" w:rsidR="0067788C" w:rsidRDefault="004E42A7" w:rsidP="0067788C">
      <w:pPr>
        <w:pStyle w:val="Paragrafoelenco"/>
        <w:numPr>
          <w:ilvl w:val="0"/>
          <w:numId w:val="1"/>
        </w:numPr>
        <w:jc w:val="both"/>
      </w:pPr>
      <w:r>
        <w:t xml:space="preserve">l’obbligo di indossarla nei luoghi al chiuso (la norma </w:t>
      </w:r>
      <w:r w:rsidR="009A79D7">
        <w:t xml:space="preserve">esclude </w:t>
      </w:r>
      <w:r>
        <w:t>fin d’ora la possibilità di disporre misure all’interno delle abitazioni private)</w:t>
      </w:r>
    </w:p>
    <w:p w14:paraId="6565B2C2" w14:textId="2EFD7E74" w:rsidR="004E42A7" w:rsidRPr="004E42A7" w:rsidRDefault="004E42A7" w:rsidP="004E42A7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>l’obbligo di indossarla in tutti i luoghi all’aperto: la disposizione eccettua fin d’ora</w:t>
      </w:r>
      <w:r w:rsidR="009A79D7">
        <w:t xml:space="preserve"> </w:t>
      </w:r>
      <w:r>
        <w:t>i casi i</w:t>
      </w:r>
      <w:r w:rsidR="009A79D7">
        <w:t>n</w:t>
      </w:r>
      <w:r>
        <w:t xml:space="preserve"> cui, “</w:t>
      </w:r>
      <w:r w:rsidRPr="004E42A7">
        <w:rPr>
          <w:i/>
          <w:iCs/>
        </w:rPr>
        <w:t>per le caratteristiche dei luoghi o per le circostanze</w:t>
      </w:r>
      <w:r>
        <w:rPr>
          <w:i/>
          <w:iCs/>
        </w:rPr>
        <w:t xml:space="preserve"> d</w:t>
      </w:r>
      <w:r w:rsidRPr="004E42A7">
        <w:rPr>
          <w:i/>
          <w:iCs/>
        </w:rPr>
        <w:t>i fatto, sia garantita in modo continuativo la condizione di isolamento rispetto a persone non conviventi</w:t>
      </w:r>
      <w:r>
        <w:t xml:space="preserve">”. Quindi, laddove ci si trovi in luoghi isolati, che </w:t>
      </w:r>
      <w:r>
        <w:lastRenderedPageBreak/>
        <w:t>garantisc</w:t>
      </w:r>
      <w:r w:rsidR="009A79D7">
        <w:t>o</w:t>
      </w:r>
      <w:r>
        <w:t>no naturalmente il distanziamento, l’obbligo di indossare la mascherina non sussiste, anche se ci si trov</w:t>
      </w:r>
      <w:r w:rsidR="009A79D7">
        <w:t>i</w:t>
      </w:r>
      <w:r>
        <w:t xml:space="preserve"> in presenza di una persona convivente</w:t>
      </w:r>
      <w:r w:rsidR="002D1972">
        <w:t xml:space="preserve">. A questo proposito, salvo che non intervengano ulteriori precisazioni, </w:t>
      </w:r>
      <w:r w:rsidR="009A79D7">
        <w:t xml:space="preserve">va evidenziato che </w:t>
      </w:r>
      <w:r w:rsidR="002D1972">
        <w:t>il concetto di “</w:t>
      </w:r>
      <w:r w:rsidR="002D1972" w:rsidRPr="000C612D">
        <w:rPr>
          <w:i/>
          <w:iCs/>
        </w:rPr>
        <w:t>convivente</w:t>
      </w:r>
      <w:r w:rsidR="002D1972">
        <w:t xml:space="preserve">” </w:t>
      </w:r>
      <w:r w:rsidR="009A79D7">
        <w:t>appare</w:t>
      </w:r>
      <w:r w:rsidR="002D1972">
        <w:t xml:space="preserve"> più ristretto sia di quello di “</w:t>
      </w:r>
      <w:r w:rsidR="002D1972" w:rsidRPr="000C612D">
        <w:rPr>
          <w:i/>
          <w:iCs/>
        </w:rPr>
        <w:t>congiunto</w:t>
      </w:r>
      <w:r w:rsidR="002D1972">
        <w:t>” sia di quello di “</w:t>
      </w:r>
      <w:r w:rsidR="002D1972" w:rsidRPr="000C612D">
        <w:rPr>
          <w:i/>
          <w:iCs/>
        </w:rPr>
        <w:t>persona che intrattiene rapporti interpersonali stabili</w:t>
      </w:r>
      <w:r w:rsidR="002D1972">
        <w:t>” (utilizzato nel DPCM del 7 settembre 2020, linee guida per il trasporto pubblico)</w:t>
      </w:r>
      <w:r w:rsidR="000C612D">
        <w:t>.</w:t>
      </w:r>
    </w:p>
    <w:p w14:paraId="1B17AB09" w14:textId="44073673" w:rsidR="002D1972" w:rsidRDefault="002D1972" w:rsidP="002D1972">
      <w:pPr>
        <w:jc w:val="both"/>
      </w:pPr>
      <w:r w:rsidRPr="009A79D7">
        <w:rPr>
          <w:b/>
          <w:bCs/>
        </w:rPr>
        <w:t>Il decreto-legge fa fin d’ora salva l’applicazione dei protocolli</w:t>
      </w:r>
      <w:r>
        <w:t xml:space="preserve"> </w:t>
      </w:r>
      <w:r w:rsidRPr="002D1972">
        <w:t>e delle linee guida anti-contagio previsti per le</w:t>
      </w:r>
      <w:r>
        <w:t xml:space="preserve"> </w:t>
      </w:r>
      <w:r w:rsidRPr="002D1972">
        <w:t>attivit</w:t>
      </w:r>
      <w:r>
        <w:t xml:space="preserve">à </w:t>
      </w:r>
      <w:r w:rsidRPr="002D1972">
        <w:t>economiche, produttive, amministrative e sociali, nonch</w:t>
      </w:r>
      <w:r>
        <w:t xml:space="preserve">é </w:t>
      </w:r>
      <w:r w:rsidRPr="002D1972">
        <w:t>delle</w:t>
      </w:r>
      <w:r>
        <w:t xml:space="preserve"> </w:t>
      </w:r>
      <w:r w:rsidRPr="002D1972">
        <w:t>linee guida per il consumo di cibi e bevande</w:t>
      </w:r>
      <w:r>
        <w:t xml:space="preserve">. La previsione è importante perché, in mancanza, la disposizione generale avrebbe legittimato il futuro DPCM </w:t>
      </w:r>
      <w:r w:rsidR="000C612D">
        <w:t xml:space="preserve">ad </w:t>
      </w:r>
      <w:r>
        <w:t xml:space="preserve">alterare le previsioni del Protocollo </w:t>
      </w:r>
      <w:r w:rsidR="000C612D">
        <w:t xml:space="preserve">del 14 marzo 2020 </w:t>
      </w:r>
      <w:r>
        <w:t xml:space="preserve">che </w:t>
      </w:r>
      <w:r w:rsidR="009A79D7">
        <w:t xml:space="preserve">regolano </w:t>
      </w:r>
      <w:r>
        <w:t xml:space="preserve">le ipotesi in cui vige l’obbligo di uso della mascherina nello svolgimento dell’attività lavorativa (mancanza di distanziamento di almeno un metro, luoghi comuni, </w:t>
      </w:r>
      <w:r w:rsidR="009A79D7">
        <w:t>etc.</w:t>
      </w:r>
      <w:r>
        <w:t>).</w:t>
      </w:r>
      <w:r w:rsidR="000C612D">
        <w:t xml:space="preserve"> </w:t>
      </w:r>
      <w:r w:rsidR="000C612D" w:rsidRPr="00051094">
        <w:rPr>
          <w:b/>
          <w:bCs/>
        </w:rPr>
        <w:t>Quindi, nei luoghi di lavoro continuerà a trovare applicazione il Protocollo, anche laddove disponga diversamente rispetto ad un DPCM che, in ipotesi, imponesse l’uso continuo della mascherina in qualsiasi luogo chiuso.</w:t>
      </w:r>
    </w:p>
    <w:p w14:paraId="260074F0" w14:textId="08B068E5" w:rsidR="002D1972" w:rsidRDefault="000C612D" w:rsidP="002D1972">
      <w:pPr>
        <w:jc w:val="both"/>
      </w:pPr>
      <w:r>
        <w:t>Ancora, non si potr</w:t>
      </w:r>
      <w:r w:rsidR="009A79D7">
        <w:t>à</w:t>
      </w:r>
      <w:r>
        <w:t xml:space="preserve"> imporre </w:t>
      </w:r>
      <w:r w:rsidR="009A79D7">
        <w:t>l’</w:t>
      </w:r>
      <w:r>
        <w:t>obblig</w:t>
      </w:r>
      <w:r w:rsidR="009A79D7">
        <w:t>o</w:t>
      </w:r>
      <w:r>
        <w:t xml:space="preserve"> di indossare la mascherina nello svolgimento di attività sportiva, ai bambini di età inferiore ai 6 anni ed alle persone con patologie e disabilità incompatibili con detto adempimento (ivi compresi gli accompagnatori).</w:t>
      </w:r>
    </w:p>
    <w:p w14:paraId="47EC6917" w14:textId="77777777" w:rsidR="00051094" w:rsidRDefault="00051094" w:rsidP="00051094">
      <w:pPr>
        <w:jc w:val="both"/>
      </w:pPr>
    </w:p>
    <w:p w14:paraId="3484FD97" w14:textId="77777777" w:rsidR="00FD284C" w:rsidRDefault="000C612D" w:rsidP="00FD284C">
      <w:pPr>
        <w:jc w:val="both"/>
      </w:pPr>
      <w:r>
        <w:t xml:space="preserve">Con riferimento al </w:t>
      </w:r>
      <w:r w:rsidRPr="00051094">
        <w:rPr>
          <w:b/>
          <w:bCs/>
        </w:rPr>
        <w:t>decreto-legge 33/2020</w:t>
      </w:r>
      <w:r>
        <w:t>, le modifiche riguardano innanzitutto la disciplina del rapporto tra le misure nazionali adottate con DPCM e quelle regionali</w:t>
      </w:r>
      <w:r w:rsidR="00FD284C">
        <w:t>.</w:t>
      </w:r>
    </w:p>
    <w:p w14:paraId="57CF0A77" w14:textId="5BBB673F" w:rsidR="00FD284C" w:rsidRDefault="00FD284C" w:rsidP="00FD284C">
      <w:pPr>
        <w:jc w:val="both"/>
      </w:pPr>
      <w:r>
        <w:t>Modificando l’articolo 1, comma 16, s</w:t>
      </w:r>
      <w:r w:rsidR="000C612D">
        <w:t>i stabilisce, infatti</w:t>
      </w:r>
      <w:r w:rsidR="00E85F20">
        <w:t>,</w:t>
      </w:r>
      <w:r w:rsidR="000C612D">
        <w:t xml:space="preserve"> che la Regione può</w:t>
      </w:r>
      <w:r>
        <w:t xml:space="preserve"> introdurre misure derogatorie rispetto a quelle nazionali solamente in senso restrittivo (e non anche ampliativo</w:t>
      </w:r>
      <w:r w:rsidR="00E85F20">
        <w:t>,</w:t>
      </w:r>
      <w:r>
        <w:t xml:space="preserve"> come in precedenza). Per poter introdurre previsioni ampliative</w:t>
      </w:r>
      <w:r w:rsidR="00E85F20">
        <w:t xml:space="preserve"> (ossia di minor rigore)</w:t>
      </w:r>
      <w:r>
        <w:t xml:space="preserve">, la Regione </w:t>
      </w:r>
      <w:r w:rsidR="00E85F20">
        <w:t xml:space="preserve">potrà intervenire nei </w:t>
      </w:r>
      <w:r>
        <w:t>“</w:t>
      </w:r>
      <w:r w:rsidRPr="00FD284C">
        <w:rPr>
          <w:i/>
          <w:iCs/>
        </w:rPr>
        <w:t>casi e nel rispetto dei criteri previsti dai citati decreti e d'intesa con il Ministro della salute</w:t>
      </w:r>
      <w:r w:rsidRPr="00FD284C">
        <w:t>”</w:t>
      </w:r>
      <w:r>
        <w:t xml:space="preserve">. Quindi, </w:t>
      </w:r>
      <w:r w:rsidR="00E85F20">
        <w:t xml:space="preserve">ciò potrà avvenire </w:t>
      </w:r>
      <w:r>
        <w:t>solamente se i</w:t>
      </w:r>
      <w:r w:rsidR="00E85F20">
        <w:t>l</w:t>
      </w:r>
      <w:r>
        <w:t xml:space="preserve"> DPCM consentirà l’adozione di misure ampliative da parte delle Regioni e se ci sarà l’intesa con il Ministro della salute.</w:t>
      </w:r>
    </w:p>
    <w:p w14:paraId="7BBA4F88" w14:textId="4866707E" w:rsidR="00FD284C" w:rsidRPr="00FD284C" w:rsidRDefault="00FD284C" w:rsidP="00FD284C">
      <w:pPr>
        <w:jc w:val="both"/>
      </w:pPr>
      <w:r>
        <w:t>La modifica all’articolo 3, comma 1,</w:t>
      </w:r>
      <w:r w:rsidR="00E85F20">
        <w:t xml:space="preserve"> del DL 33/2020</w:t>
      </w:r>
      <w:r>
        <w:t xml:space="preserve"> sposta il riferimento originario d</w:t>
      </w:r>
      <w:r w:rsidR="00E85F20">
        <w:t>a</w:t>
      </w:r>
      <w:r>
        <w:t xml:space="preserve">l 15 ottobre </w:t>
      </w:r>
      <w:r w:rsidR="00E85F20">
        <w:t xml:space="preserve">2020 </w:t>
      </w:r>
      <w:r>
        <w:t xml:space="preserve">all’attuale termine dello stato di emergenza </w:t>
      </w:r>
      <w:r w:rsidR="00E85F20">
        <w:t xml:space="preserve">fissato per il </w:t>
      </w:r>
      <w:r>
        <w:t>31 gennaio 2020.</w:t>
      </w:r>
    </w:p>
    <w:p w14:paraId="7727F19B" w14:textId="19A168DA" w:rsidR="00E5339E" w:rsidRDefault="00E5339E" w:rsidP="000C612D">
      <w:pPr>
        <w:jc w:val="both"/>
      </w:pPr>
    </w:p>
    <w:p w14:paraId="604041F1" w14:textId="34D1EBD8" w:rsidR="00FD284C" w:rsidRPr="00416F9E" w:rsidRDefault="00FD284C" w:rsidP="000C612D">
      <w:pPr>
        <w:jc w:val="both"/>
      </w:pPr>
      <w:r>
        <w:t xml:space="preserve">Le modifiche al </w:t>
      </w:r>
      <w:r w:rsidR="00051094">
        <w:rPr>
          <w:b/>
          <w:bCs/>
        </w:rPr>
        <w:t>d</w:t>
      </w:r>
      <w:r w:rsidRPr="00051094">
        <w:rPr>
          <w:b/>
          <w:bCs/>
        </w:rPr>
        <w:t>ecreto-legge 83/2020</w:t>
      </w:r>
      <w:r>
        <w:t xml:space="preserve"> – relativo alla proroga dei termini previsti dalle misure emergenziali - riguardano l’aggiornamento del termine dello stato di emergenza</w:t>
      </w:r>
      <w:r w:rsidR="00CD6B81">
        <w:t xml:space="preserve"> al 31 gennaio 2021</w:t>
      </w:r>
      <w:r>
        <w:t xml:space="preserve"> (art. 1, comma 3) e alcune modifiche dell’allegato I, che riporta le disposizioni prorogate </w:t>
      </w:r>
      <w:r w:rsidRPr="00416F9E">
        <w:t xml:space="preserve">fino al 31 </w:t>
      </w:r>
      <w:r w:rsidR="00D87893" w:rsidRPr="00416F9E">
        <w:t>dicembre 2020</w:t>
      </w:r>
      <w:r w:rsidR="00CD6B81" w:rsidRPr="00416F9E">
        <w:t>.</w:t>
      </w:r>
    </w:p>
    <w:p w14:paraId="7451864C" w14:textId="48976C04" w:rsidR="00D87893" w:rsidRDefault="00D87893" w:rsidP="000C612D">
      <w:pPr>
        <w:jc w:val="both"/>
      </w:pPr>
      <w:r w:rsidRPr="00416F9E">
        <w:t>In particolare, quanto alla proroga del lavoro agile in modalità semplificata, non paiono esservi dubbi in ordine al rinvio della possibilità di ricorrere a tale modalità fino al 31 dicembre 2020, posto che lo spostamento della scadenza dal 15 ottobre al 31 dicembre disposta dal DL 125/2020 riguarda tutte le misure indicate nell’allegato I al DL n. 83/2020, dove (ai punti 14 e 32) si richiama, senza modifiche, la normativa inerente il lavoro agile (per la quale è venuto meno solamente il riferimento al lavoro agile genitoriale, in quanto sostituito dalla disciplina del DL n. 111/2020, anch’essa valida per periodi fino al 31 dicembre 2020, in base all’art. 5, comma 5).</w:t>
      </w:r>
    </w:p>
    <w:p w14:paraId="205E32A5" w14:textId="4A08B7E6" w:rsidR="00CD6B81" w:rsidRDefault="00CD6B81" w:rsidP="000C612D">
      <w:pPr>
        <w:jc w:val="both"/>
      </w:pPr>
      <w:r>
        <w:t xml:space="preserve">Tra queste, </w:t>
      </w:r>
      <w:r w:rsidR="00E85F20">
        <w:t xml:space="preserve">rientra tra i temi di interesse esclusivamente l’ampliamento del termine per l’utilizzo del </w:t>
      </w:r>
      <w:r>
        <w:t>sistema di tracciamento Immuni</w:t>
      </w:r>
      <w:r w:rsidR="00256597">
        <w:t>, in coerenza con le previsioni dell’</w:t>
      </w:r>
      <w:r w:rsidR="00256597" w:rsidRPr="00051094">
        <w:rPr>
          <w:b/>
          <w:bCs/>
        </w:rPr>
        <w:t>articolo 2</w:t>
      </w:r>
      <w:r w:rsidR="00256597">
        <w:t xml:space="preserve">, che garantiscono </w:t>
      </w:r>
      <w:r w:rsidR="004B74B7">
        <w:t xml:space="preserve">ulteriormente </w:t>
      </w:r>
      <w:r w:rsidR="00256597">
        <w:t>la continuità operativa del sistema di allerta COVID e l’interazione con piattaforme europee.</w:t>
      </w:r>
    </w:p>
    <w:p w14:paraId="77DD66C3" w14:textId="77777777" w:rsidR="00051094" w:rsidRDefault="00051094" w:rsidP="000C612D">
      <w:pPr>
        <w:jc w:val="both"/>
        <w:rPr>
          <w:b/>
          <w:bCs/>
          <w:i/>
          <w:iCs/>
        </w:rPr>
      </w:pPr>
    </w:p>
    <w:p w14:paraId="532F18FF" w14:textId="6AC3E2B7" w:rsidR="00051094" w:rsidRPr="00051094" w:rsidRDefault="00051094" w:rsidP="000C612D">
      <w:pPr>
        <w:jc w:val="both"/>
        <w:rPr>
          <w:b/>
          <w:bCs/>
          <w:i/>
          <w:iCs/>
        </w:rPr>
      </w:pPr>
      <w:r w:rsidRPr="00051094">
        <w:rPr>
          <w:b/>
          <w:bCs/>
          <w:i/>
          <w:iCs/>
        </w:rPr>
        <w:lastRenderedPageBreak/>
        <w:t>Articolo 3</w:t>
      </w:r>
    </w:p>
    <w:p w14:paraId="2A1025AE" w14:textId="1AAF53D0" w:rsidR="00256597" w:rsidRDefault="00256597" w:rsidP="000C612D">
      <w:pPr>
        <w:jc w:val="both"/>
      </w:pPr>
      <w:r>
        <w:t>Con l’</w:t>
      </w:r>
      <w:r w:rsidRPr="00051094">
        <w:rPr>
          <w:b/>
          <w:bCs/>
        </w:rPr>
        <w:t>articolo 3</w:t>
      </w:r>
      <w:r>
        <w:t xml:space="preserve">, si differiscono al </w:t>
      </w:r>
      <w:r w:rsidRPr="00E85F20">
        <w:rPr>
          <w:b/>
          <w:bCs/>
        </w:rPr>
        <w:t>31 ottobre 2020</w:t>
      </w:r>
      <w:r>
        <w:t xml:space="preserve"> i termini previsti dai commi 9 e 10</w:t>
      </w:r>
      <w:r>
        <w:rPr>
          <w:rStyle w:val="Rimandonotaapidipagina"/>
        </w:rPr>
        <w:footnoteReference w:id="1"/>
      </w:r>
      <w:r>
        <w:t xml:space="preserve"> per prestare le domande di CIG.</w:t>
      </w:r>
    </w:p>
    <w:p w14:paraId="10AD108C" w14:textId="3F0CF4F3" w:rsidR="00CD6B81" w:rsidRPr="00051094" w:rsidRDefault="00051094" w:rsidP="000C612D">
      <w:pPr>
        <w:jc w:val="both"/>
        <w:rPr>
          <w:b/>
          <w:bCs/>
          <w:i/>
          <w:iCs/>
        </w:rPr>
      </w:pPr>
      <w:r w:rsidRPr="00051094">
        <w:rPr>
          <w:b/>
          <w:bCs/>
          <w:i/>
          <w:iCs/>
        </w:rPr>
        <w:t>Articolo 4</w:t>
      </w:r>
    </w:p>
    <w:p w14:paraId="188542CF" w14:textId="72D6240F" w:rsidR="00AA307F" w:rsidRDefault="00AA307F" w:rsidP="0067788C">
      <w:pPr>
        <w:jc w:val="both"/>
      </w:pPr>
      <w:r>
        <w:t xml:space="preserve">Con </w:t>
      </w:r>
      <w:r w:rsidR="00256597">
        <w:t xml:space="preserve">l’articolo 4, </w:t>
      </w:r>
      <w:r>
        <w:t xml:space="preserve">viene data attuazione alla </w:t>
      </w:r>
      <w:hyperlink r:id="rId13" w:history="1">
        <w:r w:rsidRPr="0067788C">
          <w:t>Direttiva (UE) 2020/739</w:t>
        </w:r>
      </w:hyperlink>
      <w:r w:rsidRPr="00AA307F">
        <w:t xml:space="preserve"> della Commissione</w:t>
      </w:r>
      <w:r>
        <w:t xml:space="preserve"> </w:t>
      </w:r>
      <w:r w:rsidRPr="00AA307F">
        <w:t>del</w:t>
      </w:r>
      <w:r>
        <w:t xml:space="preserve"> </w:t>
      </w:r>
      <w:r w:rsidRPr="00AA307F">
        <w:t>3</w:t>
      </w:r>
      <w:r>
        <w:t xml:space="preserve"> </w:t>
      </w:r>
      <w:r w:rsidRPr="00AA307F">
        <w:t>giugno</w:t>
      </w:r>
      <w:r>
        <w:t xml:space="preserve"> </w:t>
      </w:r>
      <w:r w:rsidRPr="00AA307F">
        <w:t>2020, che inseri</w:t>
      </w:r>
      <w:r>
        <w:t>sce i</w:t>
      </w:r>
      <w:r w:rsidRPr="00AA307F">
        <w:t xml:space="preserve">l SARS-CoV-2 nell'elenco degli agenti biologici di cui </w:t>
      </w:r>
      <w:r>
        <w:t>è</w:t>
      </w:r>
      <w:r w:rsidRPr="00AA307F">
        <w:t xml:space="preserve"> noto</w:t>
      </w:r>
      <w:r>
        <w:t xml:space="preserve"> </w:t>
      </w:r>
      <w:r w:rsidRPr="00AA307F">
        <w:t>che</w:t>
      </w:r>
      <w:r>
        <w:t xml:space="preserve"> </w:t>
      </w:r>
      <w:r w:rsidRPr="00AA307F">
        <w:t>possono causare</w:t>
      </w:r>
      <w:r>
        <w:t xml:space="preserve"> </w:t>
      </w:r>
      <w:r w:rsidRPr="00AA307F">
        <w:t>malattie</w:t>
      </w:r>
      <w:r>
        <w:t xml:space="preserve"> </w:t>
      </w:r>
      <w:r w:rsidRPr="00AA307F">
        <w:t>infettive</w:t>
      </w:r>
      <w:r>
        <w:t xml:space="preserve"> </w:t>
      </w:r>
      <w:r w:rsidRPr="00AA307F">
        <w:t>nell'uomo</w:t>
      </w:r>
      <w:r>
        <w:t xml:space="preserve"> (</w:t>
      </w:r>
      <w:r w:rsidRPr="00AA307F">
        <w:t>modifica</w:t>
      </w:r>
      <w:r>
        <w:t xml:space="preserve">ndo </w:t>
      </w:r>
      <w:r w:rsidRPr="00AA307F">
        <w:t>la</w:t>
      </w:r>
      <w:r>
        <w:t xml:space="preserve"> </w:t>
      </w:r>
      <w:r w:rsidRPr="00AA307F">
        <w:t>direttiva (UE) 2019/1833 della Commissione</w:t>
      </w:r>
      <w:r>
        <w:t>).</w:t>
      </w:r>
    </w:p>
    <w:p w14:paraId="161B0FA4" w14:textId="072B9855" w:rsidR="000A4FAD" w:rsidRDefault="00256597" w:rsidP="0067788C">
      <w:pPr>
        <w:jc w:val="both"/>
      </w:pPr>
      <w:r>
        <w:t xml:space="preserve">Dunque, il COVID19 (meglio definita come “sindrome respiratoria acuta grave da coronavirus 2”) viene introdotto </w:t>
      </w:r>
      <w:r w:rsidR="000A4FAD">
        <w:t xml:space="preserve">(nell’allegato 46) </w:t>
      </w:r>
      <w:r w:rsidR="00E85F20">
        <w:t xml:space="preserve">del d.lgs. n. 81/2008 </w:t>
      </w:r>
      <w:r>
        <w:t xml:space="preserve">tra gli agenti biologici classificati di categoria 3, ossia </w:t>
      </w:r>
      <w:r w:rsidR="000A4FAD">
        <w:t xml:space="preserve">come un agente </w:t>
      </w:r>
      <w:r>
        <w:t>che, secondo l’art. 228, “</w:t>
      </w:r>
      <w:r w:rsidR="000A4FAD" w:rsidRPr="00E85F20">
        <w:rPr>
          <w:i/>
          <w:iCs/>
        </w:rPr>
        <w:t xml:space="preserve">può </w:t>
      </w:r>
      <w:r w:rsidRPr="000A4FAD">
        <w:rPr>
          <w:i/>
          <w:iCs/>
        </w:rPr>
        <w:t>causare</w:t>
      </w:r>
      <w:r w:rsidR="000A4FAD" w:rsidRPr="000A4FAD">
        <w:rPr>
          <w:i/>
          <w:iCs/>
        </w:rPr>
        <w:t xml:space="preserve"> </w:t>
      </w:r>
      <w:r w:rsidRPr="000A4FAD">
        <w:rPr>
          <w:i/>
          <w:iCs/>
        </w:rPr>
        <w:t>malattie gravi in soggetti umani e costituisce un serio rischio per i</w:t>
      </w:r>
      <w:r w:rsidR="000A4FAD" w:rsidRPr="000A4FAD">
        <w:rPr>
          <w:i/>
          <w:iCs/>
        </w:rPr>
        <w:t xml:space="preserve"> </w:t>
      </w:r>
      <w:r w:rsidRPr="000A4FAD">
        <w:rPr>
          <w:i/>
          <w:iCs/>
        </w:rPr>
        <w:t>lavoratori; l'agente biologico pu</w:t>
      </w:r>
      <w:r w:rsidR="000A4FAD" w:rsidRPr="000A4FAD">
        <w:rPr>
          <w:i/>
          <w:iCs/>
        </w:rPr>
        <w:t xml:space="preserve">ò </w:t>
      </w:r>
      <w:r w:rsidRPr="000A4FAD">
        <w:rPr>
          <w:i/>
          <w:iCs/>
        </w:rPr>
        <w:t>propagarsi nella comunit</w:t>
      </w:r>
      <w:r w:rsidR="000A4FAD" w:rsidRPr="000A4FAD">
        <w:rPr>
          <w:i/>
          <w:iCs/>
        </w:rPr>
        <w:t>à</w:t>
      </w:r>
      <w:r w:rsidRPr="000A4FAD">
        <w:rPr>
          <w:i/>
          <w:iCs/>
        </w:rPr>
        <w:t>, ma di</w:t>
      </w:r>
      <w:r w:rsidR="000A4FAD" w:rsidRPr="000A4FAD">
        <w:rPr>
          <w:i/>
          <w:iCs/>
        </w:rPr>
        <w:t xml:space="preserve"> </w:t>
      </w:r>
      <w:r w:rsidRPr="000A4FAD">
        <w:rPr>
          <w:i/>
          <w:iCs/>
        </w:rPr>
        <w:t>norma sono disponibili efficaci misure profilattiche o terapeutiche</w:t>
      </w:r>
      <w:r w:rsidR="000A4FAD">
        <w:t>”.</w:t>
      </w:r>
    </w:p>
    <w:p w14:paraId="34F48878" w14:textId="77777777" w:rsidR="000A4FAD" w:rsidRDefault="000A4FAD" w:rsidP="000A4FAD">
      <w:pPr>
        <w:jc w:val="both"/>
      </w:pPr>
      <w:r>
        <w:t>Va ricordato che la disciplina inerente agli agenti biologici si applica “</w:t>
      </w:r>
      <w:r w:rsidRPr="00E85F20">
        <w:rPr>
          <w:i/>
          <w:iCs/>
        </w:rPr>
        <w:t>a tutte le attività lavorative nelle quali vi è rischio di esposizione ad agenti biologici</w:t>
      </w:r>
      <w:r w:rsidRPr="000A4FAD">
        <w:t>”</w:t>
      </w:r>
      <w:r>
        <w:t xml:space="preserve"> (art. 266): dev’essere quindi l’ambiente lavorativo ad esporre al rischio</w:t>
      </w:r>
      <w:r w:rsidRPr="000A4FAD">
        <w:t>.</w:t>
      </w:r>
      <w:r>
        <w:t xml:space="preserve"> E, ancora, che l’obbligo di comunicazione alla ASL vige nel caso in cui il datore di lavoro “</w:t>
      </w:r>
      <w:r w:rsidRPr="000A4FAD">
        <w:rPr>
          <w:i/>
          <w:iCs/>
        </w:rPr>
        <w:t>intende</w:t>
      </w:r>
      <w:r>
        <w:rPr>
          <w:i/>
          <w:iCs/>
        </w:rPr>
        <w:t xml:space="preserve"> </w:t>
      </w:r>
      <w:r w:rsidRPr="000A4FAD">
        <w:rPr>
          <w:i/>
          <w:iCs/>
        </w:rPr>
        <w:t>esercitare attività che comportano uso di agenti biologici dei gruppi 2 o 3</w:t>
      </w:r>
      <w:r>
        <w:t>” (art. 269).</w:t>
      </w:r>
    </w:p>
    <w:p w14:paraId="2517146B" w14:textId="27D38369" w:rsidR="000A4FAD" w:rsidRDefault="000A4FAD" w:rsidP="000A4FAD">
      <w:pPr>
        <w:jc w:val="both"/>
      </w:pPr>
      <w:r>
        <w:t xml:space="preserve">L’obbligo di valutare i rischi (art. 271) e di adottare le misure </w:t>
      </w:r>
      <w:r w:rsidRPr="000A4FAD">
        <w:t>tecniche, organizzative, procedurali (art. 272</w:t>
      </w:r>
      <w:r w:rsidR="0046411C">
        <w:t xml:space="preserve"> e seguenti</w:t>
      </w:r>
      <w:r w:rsidRPr="000A4FAD">
        <w:t>)</w:t>
      </w:r>
      <w:r w:rsidR="0046411C">
        <w:t xml:space="preserve"> sono compatibili con un rischio specifico che, introdotto dal datore di lavoro, determini l’obbligo prevenzionale.</w:t>
      </w:r>
    </w:p>
    <w:p w14:paraId="78651142" w14:textId="05111FC0" w:rsidR="0046411C" w:rsidRDefault="0046411C" w:rsidP="000A4FAD">
      <w:pPr>
        <w:jc w:val="both"/>
      </w:pPr>
      <w:r>
        <w:t>È evidente che il virus COVID19 non è “gestito” dal datore di lavoro né introdotto o utilizzato nel luogo di lavoro (a meno che non si tratti di un laboratorio chimico). Come è altrettanto evidente che la valutazione del rischio del COVID19 – come ormai acclarato – non è possibile, trattandosi di un rischio biologico generico incombente sull’intera popolazione.</w:t>
      </w:r>
    </w:p>
    <w:p w14:paraId="7CFBCE5B" w14:textId="229A9C41" w:rsidR="0046411C" w:rsidRDefault="0046411C" w:rsidP="000A4FAD">
      <w:pPr>
        <w:jc w:val="both"/>
      </w:pPr>
      <w:r>
        <w:t xml:space="preserve">Così, </w:t>
      </w:r>
      <w:r w:rsidR="00E85F20">
        <w:t>ancora, è</w:t>
      </w:r>
      <w:r>
        <w:t xml:space="preserve"> anche </w:t>
      </w:r>
      <w:r w:rsidR="00E85F20">
        <w:t xml:space="preserve">palese </w:t>
      </w:r>
      <w:r>
        <w:t xml:space="preserve">che le misure di contrasto al COVID19 sono da identificarsi, per espressa previsione di legge (art. 29bis l. n. 40/2020), </w:t>
      </w:r>
      <w:r w:rsidR="00E85F20">
        <w:t>ne</w:t>
      </w:r>
      <w:r>
        <w:t xml:space="preserve">l rispetto del Protocollo del 14 marzo 2020. </w:t>
      </w:r>
      <w:r w:rsidR="00E85F20">
        <w:t>Con la norma in esame s</w:t>
      </w:r>
      <w:r>
        <w:t xml:space="preserve">i crea, </w:t>
      </w:r>
      <w:r w:rsidR="00E85F20">
        <w:t>quindi</w:t>
      </w:r>
      <w:r>
        <w:t xml:space="preserve">, un contrasto tra la previsione dell’art. 29bis (di portata più ampia del </w:t>
      </w:r>
      <w:r w:rsidR="009A79D7">
        <w:t>d.lgs.</w:t>
      </w:r>
      <w:r>
        <w:t xml:space="preserve"> n. 81/2008, in quanto riferito a</w:t>
      </w:r>
      <w:r w:rsidR="00E85F20">
        <w:t xml:space="preserve">d una norma </w:t>
      </w:r>
      <w:r>
        <w:t xml:space="preserve">di chiusura) e gli obblighi </w:t>
      </w:r>
      <w:r w:rsidR="00E85F20">
        <w:t xml:space="preserve">specifici </w:t>
      </w:r>
      <w:r>
        <w:t xml:space="preserve">derivanti dall’inserimento del virus tra quelli di cui è obbligatoria la valutazione dei rischi (con quanto ne consegue). </w:t>
      </w:r>
    </w:p>
    <w:p w14:paraId="5FCE646C" w14:textId="6EE31174" w:rsidR="0046411C" w:rsidRDefault="0046411C" w:rsidP="000A4FAD">
      <w:pPr>
        <w:jc w:val="both"/>
      </w:pPr>
      <w:r>
        <w:t>L’inserimento del COVID19 tra quelli per i quali è obbligatoria la valutazione dei rischi e l’adozione delle misure conseguenti appare</w:t>
      </w:r>
      <w:r w:rsidR="00E85F20">
        <w:t>,</w:t>
      </w:r>
      <w:r>
        <w:t xml:space="preserve"> dunque</w:t>
      </w:r>
      <w:r w:rsidR="00E85F20">
        <w:t>,</w:t>
      </w:r>
      <w:r>
        <w:t xml:space="preserve"> improprio e giuridicamente errato: </w:t>
      </w:r>
      <w:r w:rsidR="00D04F75">
        <w:t xml:space="preserve">la presenza ubiquitaria del virus imporrebbe a </w:t>
      </w:r>
      <w:r>
        <w:t xml:space="preserve">tutte le aziende </w:t>
      </w:r>
      <w:r w:rsidR="00E85F20">
        <w:t xml:space="preserve">(pubbliche e private) </w:t>
      </w:r>
      <w:r w:rsidR="00D04F75">
        <w:t>di valutare il</w:t>
      </w:r>
      <w:r>
        <w:t xml:space="preserve"> rischio biologico</w:t>
      </w:r>
      <w:r w:rsidR="00D04F75">
        <w:t xml:space="preserve"> </w:t>
      </w:r>
      <w:r w:rsidR="00E85F20">
        <w:t xml:space="preserve">da COVID19 </w:t>
      </w:r>
      <w:r w:rsidR="00D04F75">
        <w:t xml:space="preserve">e di adottare non già le misure disposte dall’Autorità </w:t>
      </w:r>
      <w:r w:rsidR="00E85F20">
        <w:t xml:space="preserve">dell’emergenza </w:t>
      </w:r>
      <w:r w:rsidR="00D04F75">
        <w:t xml:space="preserve">(il Protocollo) ma anche quelle disposte dal </w:t>
      </w:r>
      <w:r w:rsidR="009A79D7">
        <w:t>D.lgs.</w:t>
      </w:r>
      <w:r w:rsidR="00D04F75">
        <w:t xml:space="preserve"> n. 81/2008, pur in assenza di una introduzione o utilizzo del virus.</w:t>
      </w:r>
    </w:p>
    <w:p w14:paraId="72367BE3" w14:textId="4A3EA4B4" w:rsidR="00D04F75" w:rsidRDefault="00D04F75" w:rsidP="000A4FAD">
      <w:pPr>
        <w:jc w:val="both"/>
      </w:pPr>
      <w:r>
        <w:t>Si palesa fin d’ora necessario, quindi, un chiarimento da parte delle Autorità competenti.</w:t>
      </w:r>
    </w:p>
    <w:p w14:paraId="1E8D9D98" w14:textId="77777777" w:rsidR="00051094" w:rsidRDefault="00051094" w:rsidP="000A4FAD">
      <w:pPr>
        <w:jc w:val="both"/>
        <w:rPr>
          <w:b/>
          <w:bCs/>
          <w:i/>
          <w:iCs/>
        </w:rPr>
      </w:pPr>
    </w:p>
    <w:p w14:paraId="693C1A1F" w14:textId="75D59A4E" w:rsidR="00051094" w:rsidRPr="00051094" w:rsidRDefault="00051094" w:rsidP="000A4FAD">
      <w:pPr>
        <w:jc w:val="both"/>
        <w:rPr>
          <w:b/>
          <w:bCs/>
          <w:i/>
          <w:iCs/>
        </w:rPr>
      </w:pPr>
      <w:r w:rsidRPr="00051094">
        <w:rPr>
          <w:b/>
          <w:bCs/>
          <w:i/>
          <w:iCs/>
        </w:rPr>
        <w:lastRenderedPageBreak/>
        <w:t>Articolo 5</w:t>
      </w:r>
    </w:p>
    <w:p w14:paraId="25922708" w14:textId="13F27E5D" w:rsidR="000A4FAD" w:rsidRDefault="00D04F75" w:rsidP="000A4FAD">
      <w:pPr>
        <w:jc w:val="both"/>
      </w:pPr>
      <w:r>
        <w:t xml:space="preserve">Con l’articolo 5 viene prorogata al 15 ottobre 2020 (o alla data di adozione del successivo DPCM) la durata del </w:t>
      </w:r>
      <w:r w:rsidR="00051094">
        <w:t xml:space="preserve">precedente </w:t>
      </w:r>
      <w:r>
        <w:t xml:space="preserve">DPCM 7 settembre 2020. </w:t>
      </w:r>
    </w:p>
    <w:p w14:paraId="5C0BBF65" w14:textId="4B34C247" w:rsidR="000A4FAD" w:rsidRDefault="00D04F75" w:rsidP="0067788C">
      <w:pPr>
        <w:jc w:val="both"/>
      </w:pPr>
      <w:r>
        <w:t>Inoltre, con il medesimo articolo 5, viene dispost</w:t>
      </w:r>
      <w:r w:rsidR="00051094">
        <w:t>a</w:t>
      </w:r>
      <w:r>
        <w:t xml:space="preserve"> </w:t>
      </w:r>
      <w:r w:rsidR="00051094">
        <w:t xml:space="preserve">– come sopra ricordato – l’immediata applicazione </w:t>
      </w:r>
      <w:r w:rsidR="009A79D7">
        <w:t>(</w:t>
      </w:r>
      <w:r w:rsidR="009A79D7" w:rsidRPr="009A79D7">
        <w:rPr>
          <w:b/>
          <w:bCs/>
        </w:rPr>
        <w:t>fino alla adozione del DPCM</w:t>
      </w:r>
      <w:r w:rsidR="009A79D7">
        <w:t xml:space="preserve"> </w:t>
      </w:r>
      <w:r w:rsidR="009A79D7" w:rsidRPr="009A79D7">
        <w:rPr>
          <w:b/>
          <w:bCs/>
        </w:rPr>
        <w:t>e</w:t>
      </w:r>
      <w:r w:rsidR="009A79D7">
        <w:rPr>
          <w:b/>
          <w:bCs/>
        </w:rPr>
        <w:t xml:space="preserve"> comunque</w:t>
      </w:r>
      <w:r w:rsidR="009A79D7" w:rsidRPr="009A79D7">
        <w:rPr>
          <w:b/>
          <w:bCs/>
        </w:rPr>
        <w:t xml:space="preserve"> non oltre il 15 ottobre 2020</w:t>
      </w:r>
      <w:r w:rsidR="009A79D7">
        <w:t xml:space="preserve">) </w:t>
      </w:r>
      <w:r w:rsidR="00051094">
        <w:t xml:space="preserve">della misura che prevede l’obbligo del possesso della mascherina in ogni situazione e del suo uso in tutti i luoghi chiusi (tranne le abitazioni private) e i quelli all’aperto (salvo quelli isolati, sia pure in presenza di una persona convivente). Si conferma l’eccezione per gli ambiti regolati dai Protocolli e dalle linee guida per </w:t>
      </w:r>
      <w:r w:rsidR="009A79D7">
        <w:t>il consumo di cibi e bevande e per le attività ed i soggetti indicati nella richiamata disposizione.</w:t>
      </w:r>
    </w:p>
    <w:p w14:paraId="1761929A" w14:textId="77777777" w:rsidR="009A79D7" w:rsidRDefault="009A79D7" w:rsidP="0067788C">
      <w:pPr>
        <w:jc w:val="both"/>
      </w:pPr>
    </w:p>
    <w:p w14:paraId="712609F9" w14:textId="77777777" w:rsidR="009A79D7" w:rsidRDefault="009A79D7" w:rsidP="0067788C">
      <w:pPr>
        <w:jc w:val="both"/>
      </w:pPr>
    </w:p>
    <w:p w14:paraId="4EAB314E" w14:textId="28F33A94" w:rsidR="00256597" w:rsidRDefault="00256597" w:rsidP="0067788C">
      <w:pPr>
        <w:jc w:val="both"/>
      </w:pPr>
      <w:r>
        <w:t xml:space="preserve"> </w:t>
      </w:r>
    </w:p>
    <w:sectPr w:rsidR="00256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D73E4" w14:textId="77777777" w:rsidR="00213F9C" w:rsidRDefault="00213F9C" w:rsidP="00256597">
      <w:pPr>
        <w:spacing w:after="0" w:line="240" w:lineRule="auto"/>
      </w:pPr>
      <w:r>
        <w:separator/>
      </w:r>
    </w:p>
  </w:endnote>
  <w:endnote w:type="continuationSeparator" w:id="0">
    <w:p w14:paraId="4557E72B" w14:textId="77777777" w:rsidR="00213F9C" w:rsidRDefault="00213F9C" w:rsidP="0025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04EF" w14:textId="77777777" w:rsidR="00213F9C" w:rsidRDefault="00213F9C" w:rsidP="00256597">
      <w:pPr>
        <w:spacing w:after="0" w:line="240" w:lineRule="auto"/>
      </w:pPr>
      <w:r>
        <w:separator/>
      </w:r>
    </w:p>
  </w:footnote>
  <w:footnote w:type="continuationSeparator" w:id="0">
    <w:p w14:paraId="6E1AFDA4" w14:textId="77777777" w:rsidR="00213F9C" w:rsidRDefault="00213F9C" w:rsidP="00256597">
      <w:pPr>
        <w:spacing w:after="0" w:line="240" w:lineRule="auto"/>
      </w:pPr>
      <w:r>
        <w:continuationSeparator/>
      </w:r>
    </w:p>
  </w:footnote>
  <w:footnote w:id="1">
    <w:p w14:paraId="73335757" w14:textId="0FEFCBA0" w:rsidR="0046411C" w:rsidRPr="00256597" w:rsidRDefault="0046411C" w:rsidP="00256597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i/>
          <w:iCs/>
          <w:color w:val="19191A"/>
        </w:rPr>
      </w:pPr>
      <w:r>
        <w:rPr>
          <w:rStyle w:val="Rimandonotaapidipagina"/>
        </w:rPr>
        <w:footnoteRef/>
      </w:r>
      <w:r>
        <w:t xml:space="preserve"> “</w:t>
      </w:r>
      <w:r w:rsidRPr="00256597">
        <w:rPr>
          <w:rFonts w:asciiTheme="minorHAnsi" w:hAnsiTheme="minorHAnsi" w:cstheme="minorHAnsi"/>
          <w:i/>
          <w:iCs/>
          <w:color w:val="19191A"/>
        </w:rPr>
        <w:t>9. I termini decadenziali di invio delle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domande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di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accesso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ai trattamenti collegati all'emergenza COVID-19 e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di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trasmissione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dei dati necessari per il pagamento o per il saldo degli stessi, compresi quelli differiti in via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amministrativa,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in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scadenza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entro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il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31 luglio</w:t>
      </w:r>
      <w:r>
        <w:rPr>
          <w:rFonts w:asciiTheme="minorHAnsi" w:hAnsiTheme="minorHAnsi" w:cstheme="minorHAnsi"/>
          <w:i/>
          <w:iCs/>
          <w:color w:val="19191A"/>
        </w:rPr>
        <w:t xml:space="preserve"> 2020</w:t>
      </w:r>
      <w:r w:rsidRPr="00256597">
        <w:rPr>
          <w:rFonts w:asciiTheme="minorHAnsi" w:hAnsiTheme="minorHAnsi" w:cstheme="minorHAnsi"/>
          <w:i/>
          <w:iCs/>
          <w:color w:val="19191A"/>
        </w:rPr>
        <w:t>, sono differiti al 31 agosto</w:t>
      </w:r>
      <w:r>
        <w:rPr>
          <w:rFonts w:asciiTheme="minorHAnsi" w:hAnsiTheme="minorHAnsi" w:cstheme="minorHAnsi"/>
          <w:i/>
          <w:iCs/>
          <w:color w:val="19191A"/>
        </w:rPr>
        <w:t xml:space="preserve"> 2020</w:t>
      </w:r>
      <w:r w:rsidRPr="00256597">
        <w:rPr>
          <w:rFonts w:asciiTheme="minorHAnsi" w:hAnsiTheme="minorHAnsi" w:cstheme="minorHAnsi"/>
          <w:i/>
          <w:iCs/>
          <w:color w:val="19191A"/>
        </w:rPr>
        <w:t xml:space="preserve">. </w:t>
      </w:r>
    </w:p>
    <w:p w14:paraId="27E0CB35" w14:textId="36B49AD5" w:rsidR="0046411C" w:rsidRPr="00256597" w:rsidRDefault="0046411C" w:rsidP="00256597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19191A"/>
        </w:rPr>
      </w:pP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10. I termini di invio delle domande di accesso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ai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trattamenti collegati all'emergenza COVID-19 e di trasmissione dei dati necessari per il pagamento o per il saldo degli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stessi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che,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in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 xml:space="preserve">applicazione della disciplina ordinaria, si collocano tra il </w:t>
      </w:r>
      <w:proofErr w:type="gramStart"/>
      <w:r w:rsidRPr="00256597">
        <w:rPr>
          <w:rFonts w:asciiTheme="minorHAnsi" w:hAnsiTheme="minorHAnsi" w:cstheme="minorHAnsi"/>
          <w:i/>
          <w:iCs/>
          <w:color w:val="19191A"/>
        </w:rPr>
        <w:t>1°</w:t>
      </w:r>
      <w:proofErr w:type="gramEnd"/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e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il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31</w:t>
      </w:r>
      <w:r>
        <w:rPr>
          <w:rFonts w:asciiTheme="minorHAnsi" w:hAnsiTheme="minorHAnsi" w:cstheme="minorHAnsi"/>
          <w:i/>
          <w:iCs/>
          <w:color w:val="19191A"/>
        </w:rPr>
        <w:t xml:space="preserve"> </w:t>
      </w:r>
      <w:r w:rsidRPr="00256597">
        <w:rPr>
          <w:rFonts w:asciiTheme="minorHAnsi" w:hAnsiTheme="minorHAnsi" w:cstheme="minorHAnsi"/>
          <w:i/>
          <w:iCs/>
          <w:color w:val="19191A"/>
        </w:rPr>
        <w:t>agost</w:t>
      </w:r>
      <w:r>
        <w:rPr>
          <w:rFonts w:asciiTheme="minorHAnsi" w:hAnsiTheme="minorHAnsi" w:cstheme="minorHAnsi"/>
          <w:i/>
          <w:iCs/>
          <w:color w:val="19191A"/>
        </w:rPr>
        <w:t>o 2020</w:t>
      </w:r>
      <w:r w:rsidRPr="00256597">
        <w:rPr>
          <w:rFonts w:asciiTheme="minorHAnsi" w:hAnsiTheme="minorHAnsi" w:cstheme="minorHAnsi"/>
          <w:i/>
          <w:iCs/>
          <w:color w:val="19191A"/>
        </w:rPr>
        <w:t xml:space="preserve"> sono differiti al 30 settembre</w:t>
      </w:r>
      <w:r>
        <w:rPr>
          <w:rFonts w:asciiTheme="minorHAnsi" w:hAnsiTheme="minorHAnsi" w:cstheme="minorHAnsi"/>
          <w:i/>
          <w:iCs/>
          <w:color w:val="19191A"/>
        </w:rPr>
        <w:t xml:space="preserve"> 2020</w:t>
      </w:r>
      <w:r>
        <w:rPr>
          <w:rStyle w:val="Enfasigrassetto"/>
          <w:rFonts w:asciiTheme="minorHAnsi" w:hAnsiTheme="minorHAnsi" w:cstheme="minorHAnsi"/>
          <w:color w:val="370AED"/>
        </w:rPr>
        <w:t>”</w:t>
      </w:r>
      <w:r w:rsidRPr="00256597">
        <w:rPr>
          <w:rFonts w:asciiTheme="minorHAnsi" w:hAnsiTheme="minorHAnsi" w:cstheme="minorHAnsi"/>
          <w:color w:val="19191A"/>
        </w:rPr>
        <w:t xml:space="preserve">. </w:t>
      </w:r>
    </w:p>
    <w:p w14:paraId="1E00247B" w14:textId="75E089CA" w:rsidR="0046411C" w:rsidRDefault="0046411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4CF3"/>
    <w:multiLevelType w:val="hybridMultilevel"/>
    <w:tmpl w:val="B99E9A1E"/>
    <w:lvl w:ilvl="0" w:tplc="6D9EC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7F"/>
    <w:rsid w:val="00051094"/>
    <w:rsid w:val="000A4FAD"/>
    <w:rsid w:val="000C612D"/>
    <w:rsid w:val="00213F9C"/>
    <w:rsid w:val="00256597"/>
    <w:rsid w:val="002D1972"/>
    <w:rsid w:val="00365AA8"/>
    <w:rsid w:val="00416F9E"/>
    <w:rsid w:val="0046411C"/>
    <w:rsid w:val="004B74B7"/>
    <w:rsid w:val="004E42A7"/>
    <w:rsid w:val="0067788C"/>
    <w:rsid w:val="008A378C"/>
    <w:rsid w:val="009A79D7"/>
    <w:rsid w:val="00AA307F"/>
    <w:rsid w:val="00C57C3A"/>
    <w:rsid w:val="00CD6B81"/>
    <w:rsid w:val="00D04F75"/>
    <w:rsid w:val="00D87893"/>
    <w:rsid w:val="00E5339E"/>
    <w:rsid w:val="00E85F20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E874"/>
  <w15:chartTrackingRefBased/>
  <w15:docId w15:val="{946EB46C-B823-4912-8998-942C233B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30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07F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A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307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A37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5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5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597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256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IT/TXT/?uri=CELEX%3A32020L073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zzettaufficiale.it/atto/vediMenuHTML?atto.dataPubblicazioneGazzetta=2020-10-07&amp;atto.codiceRedazionale=20G00144&amp;tipoSerie=serie_generale&amp;tipoVigenza=origin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zzettaufficiale.it/atto/serie_generale/caricaDettaglioAtto/originario?atto.dataPubblicazioneGazzetta=2020-10-07&amp;atto.codiceRedazionale=20A05463&amp;elenco30giorni=fal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B3BA6E2CCA8499306851845FFFA9A" ma:contentTypeVersion="2" ma:contentTypeDescription="Create a new document." ma:contentTypeScope="" ma:versionID="4679b9bc3bc5bcfd4988705f3edbb371">
  <xsd:schema xmlns:xsd="http://www.w3.org/2001/XMLSchema" xmlns:xs="http://www.w3.org/2001/XMLSchema" xmlns:p="http://schemas.microsoft.com/office/2006/metadata/properties" xmlns:ns3="109504f6-82f4-4274-b9f0-ad05fe0fd779" targetNamespace="http://schemas.microsoft.com/office/2006/metadata/properties" ma:root="true" ma:fieldsID="392fcde4a8a55eabb9beab31ee732bac" ns3:_="">
    <xsd:import namespace="109504f6-82f4-4274-b9f0-ad05fe0fd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04f6-82f4-4274-b9f0-ad05fe0f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6671-67D7-4B5B-96E5-9FCB7EB7C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504f6-82f4-4274-b9f0-ad05fe0fd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EB794-35C2-4E07-8EBB-A0378F2D7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5C940-4632-4A82-8112-82C07D61E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440BF-E553-4EA1-98C2-C0C578FA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Pontrandolfi Fabio</dc:creator>
  <cp:keywords/>
  <dc:description/>
  <cp:lastModifiedBy>Vincenti Roberto</cp:lastModifiedBy>
  <cp:revision>2</cp:revision>
  <dcterms:created xsi:type="dcterms:W3CDTF">2020-10-09T11:19:00Z</dcterms:created>
  <dcterms:modified xsi:type="dcterms:W3CDTF">2020-10-09T11:19:00Z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0x0101007A9B3BA6E2CCA8499306851845FFFA9A</vt:lpwstr>
  </property>
</Properties>
</file>