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4329" w14:textId="77777777" w:rsidR="001C3027" w:rsidRPr="001C3027" w:rsidRDefault="001C3027" w:rsidP="001C3027">
      <w:pPr>
        <w:shd w:val="clear" w:color="auto" w:fill="FFFFFF"/>
        <w:spacing w:before="30" w:after="30"/>
        <w:ind w:left="3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>Modifiche al codice di cui al decreto legislativo 11 aprile 2006, n. 198, e altre disposizioni in materia di pari opportunità tra uomo e donna in ambito lavorativo.</w:t>
      </w:r>
    </w:p>
    <w:p w14:paraId="0B1F59EF" w14:textId="77777777" w:rsidR="001C3027" w:rsidRPr="001C3027" w:rsidRDefault="001C3027" w:rsidP="001C3027">
      <w:pPr>
        <w:shd w:val="clear" w:color="auto" w:fill="FFFFFF"/>
        <w:spacing w:before="30" w:after="30"/>
        <w:ind w:left="3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4CC9D7BA" w14:textId="77777777" w:rsidR="001C3027" w:rsidRPr="001C3027" w:rsidRDefault="001C3027" w:rsidP="001C3027">
      <w:pPr>
        <w:shd w:val="clear" w:color="auto" w:fill="FFFFFF"/>
        <w:spacing w:before="30" w:after="30"/>
        <w:ind w:left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Nella Gazzetta ufficiale del 18 novembre scorso è stata pubblicata la legge n. 162 del 5 novembre 2021, recante “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Modifiche al codice di cui al decreto legislativo 11 aprile 2006, n. 198, e altre disposizioni in materia di pari opportunità tra uomo e donna in ambito lavorativo”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.</w:t>
      </w:r>
    </w:p>
    <w:p w14:paraId="7665D35B" w14:textId="77777777" w:rsidR="001C3027" w:rsidRPr="001C3027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</w:p>
    <w:p w14:paraId="3B6A53A1" w14:textId="77777777" w:rsidR="001C3027" w:rsidRPr="001C3027" w:rsidRDefault="001C3027" w:rsidP="001C3027">
      <w:pPr>
        <w:shd w:val="clear" w:color="auto" w:fill="FFFFFF"/>
        <w:spacing w:before="30" w:after="30"/>
        <w:ind w:left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Le principali modifiche introdotte nel decreto legislativo n. 198 del 2006 sono le seguenti:</w:t>
      </w:r>
    </w:p>
    <w:p w14:paraId="79170DD8" w14:textId="77777777" w:rsidR="001C3027" w:rsidRPr="001C3027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</w:p>
    <w:p w14:paraId="047B06D1" w14:textId="58F0C421" w:rsidR="001C3027" w:rsidRPr="001C3027" w:rsidRDefault="001C3027" w:rsidP="001C3027">
      <w:pPr>
        <w:pStyle w:val="Paragrafoelenco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si amplia il campo di applicazione delle imprese assoggettate all’obbligo di redazione del rapporto periodico sulla situazione del personale maschile e femminile. Saranno sottoposte all’obbligo le imprese con oltre 50 dipendenti, secondo la previgente legislazione lo erano quelle con oltre 100 dipendenti. </w:t>
      </w:r>
      <w:r w:rsidR="00E73631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Anche le aziende </w:t>
      </w:r>
      <w:r w:rsidR="00A6234C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che occupano fino a </w:t>
      </w:r>
      <w:r w:rsidR="00E73631">
        <w:rPr>
          <w:rFonts w:ascii="Arial" w:hAnsi="Arial" w:cs="Arial"/>
          <w:color w:val="000000" w:themeColor="text1"/>
          <w:sz w:val="24"/>
          <w:szCs w:val="24"/>
          <w:lang w:eastAsia="it-IT"/>
        </w:rPr>
        <w:t>50</w:t>
      </w:r>
      <w:r w:rsidR="00B754F4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="00E73631">
        <w:rPr>
          <w:rFonts w:ascii="Arial" w:hAnsi="Arial" w:cs="Arial"/>
          <w:color w:val="000000" w:themeColor="text1"/>
          <w:sz w:val="24"/>
          <w:szCs w:val="24"/>
          <w:lang w:eastAsia="it-IT"/>
        </w:rPr>
        <w:t>dipendenti potranno</w:t>
      </w:r>
      <w:r w:rsidR="00B754F4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="00E73631">
        <w:rPr>
          <w:rFonts w:ascii="Arial" w:hAnsi="Arial" w:cs="Arial"/>
          <w:color w:val="000000" w:themeColor="text1"/>
          <w:sz w:val="24"/>
          <w:szCs w:val="24"/>
          <w:lang w:eastAsia="it-IT"/>
        </w:rPr>
        <w:t>su base volontaria</w:t>
      </w:r>
      <w:r w:rsidR="00B754F4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="00E7022C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redigere il rapporto. </w:t>
      </w:r>
      <w:r w:rsidRPr="00887698">
        <w:rPr>
          <w:rFonts w:ascii="Arial" w:hAnsi="Arial" w:cs="Arial"/>
          <w:color w:val="000000" w:themeColor="text1"/>
          <w:sz w:val="24"/>
          <w:szCs w:val="24"/>
          <w:lang w:eastAsia="it-IT"/>
        </w:rPr>
        <w:t>Entro i sessanta giorni successivi alla data di entrata in vigore della legge (</w:t>
      </w:r>
      <w:r w:rsidR="00A716A0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ossia a partire dal </w:t>
      </w:r>
      <w:r w:rsidRPr="00887698">
        <w:rPr>
          <w:rFonts w:ascii="Arial" w:hAnsi="Arial" w:cs="Arial"/>
          <w:color w:val="000000" w:themeColor="text1"/>
          <w:sz w:val="24"/>
          <w:szCs w:val="24"/>
          <w:lang w:eastAsia="it-IT"/>
        </w:rPr>
        <w:t>3 dicembre 2021) dovrà essere emanato un decreto interministeriale per definire i contenuti del nuovo rapporto periodico e le modalità di trasmissione (</w:t>
      </w:r>
      <w:r w:rsidRPr="00887698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articolo 3, comma 1, lett. a)</w:t>
      </w:r>
      <w:r w:rsidR="00670B8C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, b) </w:t>
      </w:r>
      <w:r w:rsidRPr="00887698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e d) della legge in commento</w:t>
      </w:r>
      <w:r w:rsidR="00822DDB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. Le lettere a) e d) </w:t>
      </w:r>
      <w:r w:rsidRPr="00887698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modificano </w:t>
      </w:r>
      <w:r w:rsidR="00822DDB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rispettivamente </w:t>
      </w:r>
      <w:r w:rsidRPr="00887698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i comm</w:t>
      </w:r>
      <w:r w:rsidR="00FF19BC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i</w:t>
      </w:r>
      <w:r w:rsidRPr="00887698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 1 e 3 dell’articolo 46 del d.lgs. n. 198 del 2006</w:t>
      </w:r>
      <w:r w:rsidR="00822DDB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. La lettera b) introduce </w:t>
      </w:r>
      <w:r w:rsidR="00DA4DA0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il comma 1-bis</w:t>
      </w:r>
      <w:r w:rsidRPr="00887698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); </w:t>
      </w:r>
    </w:p>
    <w:p w14:paraId="134F9BDB" w14:textId="6264C4C1" w:rsidR="005F2BEA" w:rsidRPr="00CD68AF" w:rsidRDefault="001C3027" w:rsidP="00CD68AF">
      <w:pPr>
        <w:pStyle w:val="Paragrafoelenco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le </w:t>
      </w:r>
      <w:r w:rsidR="00F86EE8">
        <w:rPr>
          <w:rFonts w:ascii="Arial" w:hAnsi="Arial" w:cs="Arial"/>
          <w:color w:val="000000" w:themeColor="text1"/>
          <w:sz w:val="24"/>
          <w:szCs w:val="24"/>
          <w:lang w:eastAsia="it-IT"/>
        </w:rPr>
        <w:t>Consigliere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regionali di parità vengono chiamate ad elaborare i risultati che scaturiscono dall’invio dei rapporti periodici (di cui sono destinatarie) e a trasmetterli alle sedi territoriali dell’Ispettorato nazionale del lavoro, alla </w:t>
      </w:r>
      <w:r w:rsidR="00F86EE8">
        <w:rPr>
          <w:rFonts w:ascii="Arial" w:hAnsi="Arial" w:cs="Arial"/>
          <w:color w:val="000000" w:themeColor="text1"/>
          <w:sz w:val="24"/>
          <w:szCs w:val="24"/>
          <w:lang w:eastAsia="it-IT"/>
        </w:rPr>
        <w:t>Consigliera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nazionale di parità, al Ministero del lavoro e delle politiche sociali, al Dipartimento per le pari opportunità della Presidenza del Consiglio dei </w:t>
      </w:r>
      <w:r w:rsidR="00F807F5">
        <w:rPr>
          <w:rFonts w:ascii="Arial" w:hAnsi="Arial" w:cs="Arial"/>
          <w:color w:val="000000" w:themeColor="text1"/>
          <w:sz w:val="24"/>
          <w:szCs w:val="24"/>
          <w:lang w:eastAsia="it-IT"/>
        </w:rPr>
        <w:t>M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inistri, all’ISTAT e al CNEL</w:t>
      </w:r>
      <w:r w:rsidR="005F2BEA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. I </w:t>
      </w:r>
      <w:proofErr w:type="gramStart"/>
      <w:r w:rsidR="005F2BEA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rapporti 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="005F2BEA">
        <w:rPr>
          <w:rFonts w:ascii="Arial" w:hAnsi="Arial" w:cs="Arial"/>
          <w:color w:val="000000" w:themeColor="text1"/>
          <w:sz w:val="24"/>
          <w:szCs w:val="24"/>
          <w:lang w:eastAsia="it-IT"/>
        </w:rPr>
        <w:t>potranno</w:t>
      </w:r>
      <w:proofErr w:type="gramEnd"/>
      <w:r w:rsidR="005F2BEA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essere redatti </w:t>
      </w:r>
      <w:r w:rsidR="00591E40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esclusivamente </w:t>
      </w:r>
      <w:r w:rsidR="005F2BEA">
        <w:rPr>
          <w:rFonts w:ascii="Arial" w:hAnsi="Arial" w:cs="Arial"/>
          <w:color w:val="000000" w:themeColor="text1"/>
          <w:sz w:val="24"/>
          <w:szCs w:val="24"/>
          <w:lang w:eastAsia="it-IT"/>
        </w:rPr>
        <w:t>in modalità telematica</w:t>
      </w:r>
      <w:r w:rsidR="00591E40">
        <w:rPr>
          <w:rFonts w:ascii="Arial" w:hAnsi="Arial" w:cs="Arial"/>
          <w:color w:val="000000" w:themeColor="text1"/>
          <w:sz w:val="24"/>
          <w:szCs w:val="24"/>
          <w:lang w:eastAsia="it-IT"/>
        </w:rPr>
        <w:t>, attraverso la compilazione di un modello pubblicato nel sito internet del Ministero del lavoro.</w:t>
      </w:r>
      <w:r w:rsidR="002F509A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="00E6367F">
        <w:rPr>
          <w:rFonts w:ascii="Arial" w:hAnsi="Arial" w:cs="Arial"/>
          <w:color w:val="000000" w:themeColor="text1"/>
          <w:sz w:val="24"/>
          <w:szCs w:val="24"/>
          <w:lang w:eastAsia="it-IT"/>
        </w:rPr>
        <w:t>Va evidenziato come l</w:t>
      </w:r>
      <w:r w:rsidR="004A50AB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a redazione dei rapporti </w:t>
      </w:r>
      <w:r w:rsidR="00F807F5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esclusivamente </w:t>
      </w:r>
      <w:r w:rsidR="004A50AB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in modalità telematica </w:t>
      </w:r>
      <w:r w:rsidR="00FF76DA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renderà </w:t>
      </w:r>
      <w:r w:rsidR="004A50AB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particolarmente </w:t>
      </w:r>
      <w:r w:rsidR="00FF76DA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agevole </w:t>
      </w:r>
      <w:r w:rsidR="0090663D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la lettura </w:t>
      </w:r>
      <w:r w:rsidR="006854F9">
        <w:rPr>
          <w:rFonts w:ascii="Arial" w:hAnsi="Arial" w:cs="Arial"/>
          <w:color w:val="000000" w:themeColor="text1"/>
          <w:sz w:val="24"/>
          <w:szCs w:val="24"/>
          <w:lang w:eastAsia="it-IT"/>
        </w:rPr>
        <w:t>dei dati</w:t>
      </w:r>
      <w:r w:rsidR="004A50AB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con evidenti riflessi </w:t>
      </w:r>
      <w:r w:rsidR="00CD68AF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sulla conoscenza delle situazioni aziendali </w:t>
      </w:r>
      <w:r w:rsidRPr="00CD68AF">
        <w:rPr>
          <w:rFonts w:ascii="Arial" w:hAnsi="Arial" w:cs="Arial"/>
          <w:color w:val="000000" w:themeColor="text1"/>
          <w:sz w:val="24"/>
          <w:szCs w:val="24"/>
          <w:lang w:eastAsia="it-IT"/>
        </w:rPr>
        <w:t>(</w:t>
      </w:r>
      <w:r w:rsidRPr="00CD68AF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articolo 3, comma 1, lett. c) della legge in commento </w:t>
      </w:r>
      <w:r w:rsidR="00887698" w:rsidRPr="00CD68AF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che </w:t>
      </w:r>
      <w:r w:rsidRPr="00CD68AF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modifica il comma 2 dell’articolo 46 del d.lgs. n. 198 del 2006); </w:t>
      </w:r>
    </w:p>
    <w:p w14:paraId="546ACD43" w14:textId="0FFF4E83" w:rsidR="001C3027" w:rsidRPr="001C3027" w:rsidRDefault="001C3027" w:rsidP="001C3027">
      <w:pPr>
        <w:pStyle w:val="Paragrafoelenco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887698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l’Ispettorato nazionale del lavoro è chiamato a verificare la veridicità dei rapporti periodici. Nel caso di rapporto mendace o incompleto, verrà applicata una sanzione amministrativa pecuniaria da 1.000 a 5.000 </w:t>
      </w:r>
      <w:proofErr w:type="gramStart"/>
      <w:r w:rsidRPr="00887698">
        <w:rPr>
          <w:rFonts w:ascii="Arial" w:hAnsi="Arial" w:cs="Arial"/>
          <w:color w:val="000000" w:themeColor="text1"/>
          <w:sz w:val="24"/>
          <w:szCs w:val="24"/>
          <w:lang w:eastAsia="it-IT"/>
        </w:rPr>
        <w:t>euro;</w:t>
      </w:r>
      <w:proofErr w:type="gramEnd"/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(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articolo 3, comma 1, lett. g) </w:t>
      </w:r>
      <w:r w:rsidR="00505560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che 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introduce il comma 4-bis dell’articolo 46 del d.lgs. n. 198 del 2006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)</w:t>
      </w:r>
    </w:p>
    <w:p w14:paraId="20516845" w14:textId="398AC998" w:rsidR="001C3027" w:rsidRPr="001C3027" w:rsidRDefault="001C3027" w:rsidP="001C3027">
      <w:pPr>
        <w:pStyle w:val="Paragrafoelenco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viene istituita la certificazione della parità di genere a decorrere dal 1° gennaio 2022 al fine di attestare le politiche e le misure concrete adottate dai datori di lavoro per ridurre il divario di genere in relazione alle opportunità di crescita in azienda, alla parità salariale a parità di mansioni, alle politiche di gestione delle differenze di genere e alla tutela della maternità. Dovranno essere emanati dei decreti per regolamentare la materia in maniera puntuale (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articolo 4 della legge in commento </w:t>
      </w:r>
      <w:r w:rsidR="00505560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che 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introduce l’articolo 46-bis del decreto legislativo n. 198 del 2006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);</w:t>
      </w:r>
    </w:p>
    <w:p w14:paraId="6E19EC3D" w14:textId="09337D29" w:rsidR="001C3027" w:rsidRPr="001C3027" w:rsidRDefault="001C3027" w:rsidP="001C3027">
      <w:pPr>
        <w:pStyle w:val="Paragrafoelenco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viene istituito, presso il Dipartimento per le pari opportunità della Presidenza del Consiglio dei </w:t>
      </w:r>
      <w:r w:rsidR="00F86EE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</w:t>
      </w:r>
      <w:r w:rsidRPr="001C302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inistri, un Comitato tecnico permanente sulla certificazione di genere nelle imprese, costituito da rappresentanti del medesimo Dipartimento per le pari opportunità, del Ministero del lavoro e delle politiche sociali, del Ministero dello sviluppo economico, delle </w:t>
      </w:r>
      <w:r w:rsidR="00F86EE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Consigliere</w:t>
      </w:r>
      <w:r w:rsidRPr="001C302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 dei </w:t>
      </w:r>
      <w:r w:rsidR="00F86EE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Consiglieri</w:t>
      </w:r>
      <w:r w:rsidRPr="001C302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di parità, da rappresentanti sindacali e da esperti, da individuare secondo modalità definite con decreti successivi 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(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articolo 4</w:t>
      </w:r>
      <w:r w:rsidR="003238BE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, comma 3,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 della legge in commento </w:t>
      </w:r>
      <w:r w:rsidR="00505560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 xml:space="preserve">che 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  <w:lang w:eastAsia="it-IT"/>
        </w:rPr>
        <w:t>introduce l’articolo 46-bis del decreto legislativo n. 198 del 2006</w:t>
      </w: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>);</w:t>
      </w:r>
    </w:p>
    <w:p w14:paraId="7388E3CE" w14:textId="14E5D8D9" w:rsidR="001C3027" w:rsidRPr="001C3027" w:rsidRDefault="001C3027" w:rsidP="001C3027">
      <w:pPr>
        <w:pStyle w:val="Paragrafoelenco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lastRenderedPageBreak/>
        <w:t xml:space="preserve">viene innovata la definizione di discriminazione, sancendo che costituisce discriminazione </w:t>
      </w:r>
      <w:r w:rsidRPr="001C3027">
        <w:rPr>
          <w:rFonts w:ascii="Arial" w:hAnsi="Arial" w:cs="Arial"/>
          <w:color w:val="000000" w:themeColor="text1"/>
          <w:sz w:val="24"/>
          <w:szCs w:val="24"/>
        </w:rPr>
        <w:t xml:space="preserve">ogni trattamento o modifica dell'organizzazione delle condizioni e dei tempi di lavoro che, in ragione del sesso, dell'età anagrafica, delle esigenze di cura personale o familiare, dello stato di gravidanza nonché di maternità o paternità, anche adottive, ovvero in ragione della titolarità e dell'esercizio dei relativi diritti, pone o può porre il lavoratore in almeno una delle seguenti condizioni: posizione di svantaggio rispetto alla generalità degli altri lavoratori; limitazione delle opportunità di partecipazione alla vita o alle scelte aziendali; limitazione dell'accesso ai meccanismi di avanzamento e di progressione nella carriera </w:t>
      </w:r>
      <w:r w:rsidR="004072A3">
        <w:rPr>
          <w:rFonts w:ascii="Arial" w:hAnsi="Arial" w:cs="Arial"/>
          <w:color w:val="000000" w:themeColor="text1"/>
          <w:sz w:val="24"/>
          <w:szCs w:val="24"/>
        </w:rPr>
        <w:t>(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</w:rPr>
        <w:t>articolo 2</w:t>
      </w:r>
      <w:r w:rsidR="001F6641">
        <w:rPr>
          <w:rFonts w:ascii="Arial" w:hAnsi="Arial" w:cs="Arial"/>
          <w:i/>
          <w:iCs/>
          <w:color w:val="000000" w:themeColor="text1"/>
          <w:sz w:val="24"/>
          <w:szCs w:val="24"/>
        </w:rPr>
        <w:t>, comma 1,  lett. c)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della legge in commento </w:t>
      </w:r>
      <w:r w:rsidR="004072A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che 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</w:rPr>
        <w:t>modifica l’articolo 25 del decreto legislativo n. 198 del 2006</w:t>
      </w:r>
      <w:r w:rsidR="001F6641">
        <w:rPr>
          <w:rFonts w:ascii="Arial" w:hAnsi="Arial" w:cs="Arial"/>
          <w:i/>
          <w:iCs/>
          <w:color w:val="000000" w:themeColor="text1"/>
          <w:sz w:val="24"/>
          <w:szCs w:val="24"/>
        </w:rPr>
        <w:t>, introducendo il comma 2-bis</w:t>
      </w:r>
      <w:r w:rsidRPr="001C3027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65985B95" w14:textId="77777777" w:rsidR="001C3027" w:rsidRPr="001C3027" w:rsidRDefault="001C3027" w:rsidP="001C3027">
      <w:pPr>
        <w:shd w:val="clear" w:color="auto" w:fill="FFFFFF"/>
        <w:spacing w:before="30" w:after="30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</w:p>
    <w:p w14:paraId="20FE45D0" w14:textId="2F0FE678" w:rsidR="001C3027" w:rsidRPr="004072A3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Per l'anno 2022, alle aziende private che saranno in possesso della certificazione della parità di genere è concesso, nel limite complessivo di 50 milioni di euro, un esonero dal versamento dei complessivi contributi previdenziali a carico del datore di lavoro. </w:t>
      </w:r>
      <w:r w:rsidRPr="004072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L’esonero è determinato in misura non superiore all’1 per cento e nel limite massimo di 50.000 euro annui per ciascuna azienda (</w:t>
      </w:r>
      <w:r w:rsidRPr="004072A3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articolo 5, commi </w:t>
      </w:r>
      <w:r w:rsidR="00843D8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1, </w:t>
      </w:r>
      <w:r w:rsidRPr="004072A3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2 e 4 della legge in commento</w:t>
      </w:r>
      <w:proofErr w:type="gramStart"/>
      <w:r w:rsidRPr="004072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</w:t>
      </w:r>
      <w:r w:rsidR="009526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14:paraId="55C8F881" w14:textId="77777777" w:rsidR="001C3027" w:rsidRPr="004072A3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F252B2" w14:textId="100953ED" w:rsidR="001C3027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72A3">
        <w:rPr>
          <w:rFonts w:ascii="Arial" w:hAnsi="Arial" w:cs="Arial"/>
          <w:color w:val="000000" w:themeColor="text1"/>
          <w:sz w:val="24"/>
          <w:szCs w:val="24"/>
        </w:rPr>
        <w:t xml:space="preserve">Compatibilmente con il diritto dell’Unione europea e con i principi di parità di trattamento, trasparenza e proporzionalità, viene previsto un punteggio premiale, da far valere negli avvisi o negli </w:t>
      </w:r>
      <w:proofErr w:type="gramStart"/>
      <w:r w:rsidRPr="004072A3">
        <w:rPr>
          <w:rFonts w:ascii="Arial" w:hAnsi="Arial" w:cs="Arial"/>
          <w:color w:val="000000" w:themeColor="text1"/>
          <w:sz w:val="24"/>
          <w:szCs w:val="24"/>
        </w:rPr>
        <w:t>inviti</w:t>
      </w:r>
      <w:r w:rsidR="0030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72A3">
        <w:rPr>
          <w:rFonts w:ascii="Arial" w:hAnsi="Arial" w:cs="Arial"/>
          <w:color w:val="000000" w:themeColor="text1"/>
          <w:sz w:val="24"/>
          <w:szCs w:val="24"/>
        </w:rPr>
        <w:t xml:space="preserve"> relativi</w:t>
      </w:r>
      <w:proofErr w:type="gramEnd"/>
      <w:r w:rsidRPr="004072A3">
        <w:rPr>
          <w:rFonts w:ascii="Arial" w:hAnsi="Arial" w:cs="Arial"/>
          <w:color w:val="000000" w:themeColor="text1"/>
          <w:sz w:val="24"/>
          <w:szCs w:val="24"/>
        </w:rPr>
        <w:t xml:space="preserve"> a procedure per l’acquisizione di servizi, forniture, lavori e opere, a favore delle aziende private in possesso al 31 dicembre dell’anno precedente, a quello di riferimento, della certificazione della parità di genere (</w:t>
      </w:r>
      <w:r w:rsidRPr="004072A3">
        <w:rPr>
          <w:rFonts w:ascii="Arial" w:hAnsi="Arial" w:cs="Arial"/>
          <w:i/>
          <w:iCs/>
          <w:color w:val="000000" w:themeColor="text1"/>
          <w:sz w:val="24"/>
          <w:szCs w:val="24"/>
        </w:rPr>
        <w:t>articolo 5, comma 3 della legge in commento</w:t>
      </w:r>
      <w:r w:rsidRPr="004072A3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0E565C4" w14:textId="0B7DF2AA" w:rsidR="00056630" w:rsidRDefault="00056630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D30ACB" w14:textId="2A843493" w:rsidR="00056630" w:rsidRPr="004072A3" w:rsidRDefault="00056630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Il fatto di aver previsto che le aziende fino a 50 dipendenti possano trasmettere, su base volontaria, il rapporto periodico sulla situazione del personale lascia </w:t>
      </w:r>
      <w:r w:rsidR="004D240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ipotizzare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che anche queste imprese possano ottenere la certificazione di genere e, quindi, i benefici conseguenti. Dovremo attendere l’emanazione de</w:t>
      </w:r>
      <w:r w:rsidR="00916B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successivi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atti normativi</w:t>
      </w:r>
      <w:r w:rsidR="00916B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 attuazione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7B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(DPCM e decreti interministeriali)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 averne certezza</w:t>
      </w:r>
      <w:r w:rsidR="00EC7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C7363" w:rsidRPr="00EC7363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articolo 3, comma 1, lett. b</w:t>
      </w:r>
      <w:r w:rsidR="00EC7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4D240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240D" w:rsidRPr="004D240D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della legge in commento</w:t>
      </w:r>
      <w:r w:rsidR="004D240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9115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05B2460" w14:textId="77777777" w:rsidR="001C3027" w:rsidRPr="001C3027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</w:p>
    <w:p w14:paraId="438F22B5" w14:textId="77777777" w:rsidR="001C3027" w:rsidRPr="001C3027" w:rsidRDefault="001C3027" w:rsidP="001C3027">
      <w:pPr>
        <w:shd w:val="clear" w:color="auto" w:fill="FFFFFF"/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3027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Nello stesso provvedimento vengono, altresì, estese alle società  controllate da pubbliche amministrazioni e non </w:t>
      </w:r>
      <w:r w:rsidRPr="001C3027">
        <w:rPr>
          <w:rFonts w:ascii="Arial" w:hAnsi="Arial" w:cs="Arial"/>
          <w:color w:val="000000" w:themeColor="text1"/>
          <w:sz w:val="24"/>
          <w:szCs w:val="24"/>
        </w:rPr>
        <w:t>quotate in mercati regolamentati le norme in materia di parità di genere previste per la composizione degli organi collegiali di amministrazione delle società quotate in mercati regolamentati: per i primi sei mandati successivi all’applicazione della nuova disposizione, ogni genere dovrà essere rappresentato nella misura di almeno due quinti degli amministratori eletti (</w:t>
      </w:r>
      <w:r w:rsidRPr="001C3027">
        <w:rPr>
          <w:rFonts w:ascii="Arial" w:hAnsi="Arial" w:cs="Arial"/>
          <w:i/>
          <w:iCs/>
          <w:color w:val="000000" w:themeColor="text1"/>
          <w:sz w:val="24"/>
          <w:szCs w:val="24"/>
        </w:rPr>
        <w:t>articolo 6 della legge in commento</w:t>
      </w:r>
      <w:r w:rsidRPr="001C3027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2FD51D8" w14:textId="77777777" w:rsidR="001C3027" w:rsidRPr="001C3027" w:rsidRDefault="001C3027" w:rsidP="001C302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39B3B1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  <w:u w:val="single"/>
        </w:rPr>
        <w:t>Decretazione</w:t>
      </w:r>
    </w:p>
    <w:p w14:paraId="4FAF808A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E315E9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>Per la piena attuazione della legge si attende l’emanazione, quindi, di:</w:t>
      </w:r>
    </w:p>
    <w:p w14:paraId="14CC5514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E8940A" w14:textId="77777777" w:rsidR="001C3027" w:rsidRPr="000806B0" w:rsidRDefault="001C3027" w:rsidP="001C302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>un decreto interministeriale, volto a rivedere i contenuti del rapporto periodico sulla situazione del personale maschile e femminile (</w:t>
      </w:r>
      <w:r w:rsidRPr="00303ADA">
        <w:rPr>
          <w:rFonts w:ascii="Arial" w:hAnsi="Arial" w:cs="Arial"/>
          <w:i/>
          <w:iCs/>
          <w:color w:val="000000" w:themeColor="text1"/>
          <w:sz w:val="24"/>
          <w:szCs w:val="24"/>
        </w:rPr>
        <w:t>articolo 3, comma 1, lettera d) della legge in commento che modifica il comma 3 dell’articolo 46 del d.lgs. n. 198 del 2006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5E84312D" w14:textId="77777777" w:rsidR="001C3027" w:rsidRPr="000806B0" w:rsidRDefault="001C3027" w:rsidP="001C302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di uno o </w:t>
      </w:r>
      <w:proofErr w:type="gramStart"/>
      <w:r w:rsidRPr="000806B0">
        <w:rPr>
          <w:rFonts w:ascii="Arial" w:hAnsi="Arial" w:cs="Arial"/>
          <w:color w:val="000000" w:themeColor="text1"/>
          <w:sz w:val="24"/>
          <w:szCs w:val="24"/>
        </w:rPr>
        <w:t>più  DPCM</w:t>
      </w:r>
      <w:proofErr w:type="gramEnd"/>
      <w:r w:rsidRPr="000806B0">
        <w:rPr>
          <w:rFonts w:ascii="Arial" w:hAnsi="Arial" w:cs="Arial"/>
          <w:color w:val="000000" w:themeColor="text1"/>
          <w:sz w:val="24"/>
          <w:szCs w:val="24"/>
        </w:rPr>
        <w:t>, diretti a regolamentare la certificazione di genere (</w:t>
      </w:r>
      <w:r w:rsidRPr="00303ADA">
        <w:rPr>
          <w:rFonts w:ascii="Arial" w:hAnsi="Arial" w:cs="Arial"/>
          <w:i/>
          <w:iCs/>
          <w:color w:val="000000" w:themeColor="text1"/>
          <w:sz w:val="24"/>
          <w:szCs w:val="24"/>
        </w:rPr>
        <w:t>articolo 4, comma 2 della legge in commento che introduce l’articolo 46-bis del d.lgs. n. 198 del 2006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105F7AC5" w14:textId="77777777" w:rsidR="001C3027" w:rsidRPr="000806B0" w:rsidRDefault="001C3027" w:rsidP="001C302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lastRenderedPageBreak/>
        <w:t>di un decreto interministeriale volto a regolamentare l’esonero contributivo, conseguente al possesso della certificazione di genere, da adottare entro il 31 gennaio 2022 (</w:t>
      </w:r>
      <w:r w:rsidRPr="00303ADA">
        <w:rPr>
          <w:rFonts w:ascii="Arial" w:hAnsi="Arial" w:cs="Arial"/>
          <w:i/>
          <w:iCs/>
          <w:color w:val="000000" w:themeColor="text1"/>
          <w:sz w:val="24"/>
          <w:szCs w:val="24"/>
        </w:rPr>
        <w:t>articolo 5, comma 2 della legge in commento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39F58EDD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C769013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Per quanto riguarda il </w:t>
      </w:r>
      <w:r w:rsidRPr="000806B0">
        <w:rPr>
          <w:rFonts w:ascii="Arial" w:hAnsi="Arial" w:cs="Arial"/>
          <w:color w:val="000000" w:themeColor="text1"/>
          <w:sz w:val="24"/>
          <w:szCs w:val="24"/>
          <w:u w:val="single"/>
        </w:rPr>
        <w:t>rapporto periodico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, entro i sessanta giorni dalla data di entrata in vigore della legge in </w:t>
      </w:r>
      <w:proofErr w:type="gramStart"/>
      <w:r w:rsidRPr="000806B0">
        <w:rPr>
          <w:rFonts w:ascii="Arial" w:hAnsi="Arial" w:cs="Arial"/>
          <w:color w:val="000000" w:themeColor="text1"/>
          <w:sz w:val="24"/>
          <w:szCs w:val="24"/>
        </w:rPr>
        <w:t>commento  (</w:t>
      </w:r>
      <w:proofErr w:type="gramEnd"/>
      <w:r w:rsidRPr="000806B0">
        <w:rPr>
          <w:rFonts w:ascii="Arial" w:hAnsi="Arial" w:cs="Arial"/>
          <w:color w:val="000000" w:themeColor="text1"/>
          <w:sz w:val="24"/>
          <w:szCs w:val="24"/>
        </w:rPr>
        <w:t>ossia a partire dal 3 dicembre 2021), dovrà essere emanato un decreto interministeriale in cui dovranno essere definite:</w:t>
      </w:r>
    </w:p>
    <w:p w14:paraId="0B81EFF0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DE8529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a)le indicazioni per la redazione del rapporto, che deve in ogni caso indicare il numero dei lavoratori occupati di sesso femminile e di sesso maschile, il numero dei lavoratori di sesso femminile eventualmente in stato di gravidanza, il numero dei lavoratori di sesso femminile e maschile eventualmente assunti nel corso dell'anno, le differenze tra le retribuzioni iniziali dei lavoratori di ciascun sesso, l'inquadramento contrattuale e la funzione svolta da ciascun lavoratore occupato, anche con riferimento alla distribuzione fra i lavoratori dei contratti a tempo pieno e a tempo parziale, nonché l'importo della retribuzione complessiva corrisposta, delle componenti accessorie del salario, delle indennità, anche collegate al risultato, dei bonus e di ogni altro beneficio in natura ovvero di qualsiasi altra erogazione che siano stati eventualmente riconosciuti a ciascun lavoratore. I dati non devono indicare l'identità del lavoratore, del quale deve essere specificato solo il sesso. </w:t>
      </w:r>
    </w:p>
    <w:p w14:paraId="7DA7277E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A3166C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>b)l'obbligo di inserire nel rapporto informazioni e dati sui processi di selezione in fase di assunzione, sui processi di reclutamento, sulle procedure utilizzate per l'accesso alla qualificazione professionale e alla formazione manageriale, sugli strumenti e sulle misure resi disponibili per promuovere la conciliazione dei tempi di vita e di lavoro, sulla presenza di politiche aziendali a garanzia di un ambiente di lavoro inclusivo e rispettoso e sui criteri adottati per le progressioni di carriera;</w:t>
      </w:r>
    </w:p>
    <w:p w14:paraId="5B9FD445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9F4D42" w14:textId="1001B4E3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c)le modalità di accesso al rapporto da parte dei dipendenti e delle rappresentanze sindacali dell'azienda interessata, nel rispetto della tutela dei dati personali, </w:t>
      </w:r>
      <w:r w:rsidR="00317D37">
        <w:rPr>
          <w:rFonts w:ascii="Arial" w:hAnsi="Arial" w:cs="Arial"/>
          <w:color w:val="000000" w:themeColor="text1"/>
          <w:sz w:val="24"/>
          <w:szCs w:val="24"/>
        </w:rPr>
        <w:t xml:space="preserve">anche 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>al fine di usufruire della tutela giudiziaria.</w:t>
      </w:r>
    </w:p>
    <w:p w14:paraId="0363AFED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0CD7F" w14:textId="3B7D1C8B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Nel decreto dovranno essere definite, altresì, le modalità di trasmissione alla </w:t>
      </w:r>
      <w:r w:rsidR="00F86EE8">
        <w:rPr>
          <w:rFonts w:ascii="Arial" w:hAnsi="Arial" w:cs="Arial"/>
          <w:color w:val="000000" w:themeColor="text1"/>
          <w:sz w:val="24"/>
          <w:szCs w:val="24"/>
        </w:rPr>
        <w:t>Consigliera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o al </w:t>
      </w:r>
      <w:r w:rsidR="00F86EE8">
        <w:rPr>
          <w:rFonts w:ascii="Arial" w:hAnsi="Arial" w:cs="Arial"/>
          <w:color w:val="000000" w:themeColor="text1"/>
          <w:sz w:val="24"/>
          <w:szCs w:val="24"/>
        </w:rPr>
        <w:t>Consigliere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nazionale di parità, entro il 31 dicembre di ogni anno, dell'elenco, redatto su base regionale, delle aziende tenute all'obbligo di trasmissione del rapporto, nonché le modalità di trasmissione alle </w:t>
      </w:r>
      <w:r w:rsidR="00F86EE8">
        <w:rPr>
          <w:rFonts w:ascii="Arial" w:hAnsi="Arial" w:cs="Arial"/>
          <w:color w:val="000000" w:themeColor="text1"/>
          <w:sz w:val="24"/>
          <w:szCs w:val="24"/>
        </w:rPr>
        <w:t>Consigliere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e ai </w:t>
      </w:r>
      <w:r w:rsidR="00F86EE8">
        <w:rPr>
          <w:rFonts w:ascii="Arial" w:hAnsi="Arial" w:cs="Arial"/>
          <w:color w:val="000000" w:themeColor="text1"/>
          <w:sz w:val="24"/>
          <w:szCs w:val="24"/>
        </w:rPr>
        <w:t>Consiglieri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di parità regionali, delle città metropolitane e degli enti di area vasta, degli elenchi riferiti ai rispettivi territori, sempre entro il 31 dicembre di ogni anno.</w:t>
      </w:r>
    </w:p>
    <w:p w14:paraId="76B85607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C94308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Per quanto riguarda la </w:t>
      </w:r>
      <w:r w:rsidRPr="000806B0">
        <w:rPr>
          <w:rFonts w:ascii="Arial" w:hAnsi="Arial" w:cs="Arial"/>
          <w:color w:val="000000" w:themeColor="text1"/>
          <w:sz w:val="24"/>
          <w:szCs w:val="24"/>
          <w:u w:val="single"/>
        </w:rPr>
        <w:t>certificazione di genere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>, con uno o più DPCM, dovranno essere stabiliti:</w:t>
      </w:r>
    </w:p>
    <w:p w14:paraId="7C1D4060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3BA51B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806B0">
        <w:rPr>
          <w:rFonts w:ascii="Arial" w:hAnsi="Arial" w:cs="Arial"/>
          <w:color w:val="000000" w:themeColor="text1"/>
          <w:sz w:val="24"/>
          <w:szCs w:val="24"/>
        </w:rPr>
        <w:t>a)i</w:t>
      </w:r>
      <w:proofErr w:type="gramEnd"/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parametri minimi per il conseguimento della certificazione della parità di genere da parte delle aziende, con particolare riferimento alla retribuzione corrisposta, alle opportunità di progressione in carriera e alla conciliazione dei tempi di vita e di lavoro, anche con riguardo ai lavoratori occupati di sesso femminile in stato di gravidanza; </w:t>
      </w:r>
    </w:p>
    <w:p w14:paraId="5039A498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6C465E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806B0">
        <w:rPr>
          <w:rFonts w:ascii="Arial" w:hAnsi="Arial" w:cs="Arial"/>
          <w:color w:val="000000" w:themeColor="text1"/>
          <w:sz w:val="24"/>
          <w:szCs w:val="24"/>
        </w:rPr>
        <w:t>b)le</w:t>
      </w:r>
      <w:proofErr w:type="gramEnd"/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modalità di acquisizione e di monitoraggio dei dati trasmessi dai datori di lavoro e resi disponibili dal Ministero del lavoro e delle politiche sociali; </w:t>
      </w:r>
    </w:p>
    <w:p w14:paraId="2AD45440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B0D565" w14:textId="6B7B9926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c)le modalità di coinvolgimento delle rappresentanze sindacali aziendali e delle </w:t>
      </w:r>
      <w:r w:rsidR="00F86EE8">
        <w:rPr>
          <w:rFonts w:ascii="Arial" w:hAnsi="Arial" w:cs="Arial"/>
          <w:color w:val="000000" w:themeColor="text1"/>
          <w:sz w:val="24"/>
          <w:szCs w:val="24"/>
        </w:rPr>
        <w:t>Consigliere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e dei </w:t>
      </w:r>
      <w:r w:rsidR="00F86EE8">
        <w:rPr>
          <w:rFonts w:ascii="Arial" w:hAnsi="Arial" w:cs="Arial"/>
          <w:color w:val="000000" w:themeColor="text1"/>
          <w:sz w:val="24"/>
          <w:szCs w:val="24"/>
        </w:rPr>
        <w:t>Consiglieri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 di parità regionali, delle città metropolitane e degli enti di area vasta, nel controllo e nella verifica del rispetto dei parametri;</w:t>
      </w:r>
    </w:p>
    <w:p w14:paraId="50F75BBB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86FF2F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>d)le forme di pubblicità della certificazione della parità di genere.</w:t>
      </w:r>
    </w:p>
    <w:p w14:paraId="21F87748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04CA64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 xml:space="preserve">Per quanto riguarda </w:t>
      </w:r>
      <w:r w:rsidRPr="000806B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l’esonero contributivo </w:t>
      </w:r>
      <w:r w:rsidRPr="000806B0">
        <w:rPr>
          <w:rFonts w:ascii="Arial" w:hAnsi="Arial" w:cs="Arial"/>
          <w:color w:val="000000" w:themeColor="text1"/>
          <w:sz w:val="24"/>
          <w:szCs w:val="24"/>
        </w:rPr>
        <w:t>riparametrato e applicato su base mensile, dovrà essere emanato, entro il 31 gennaio 2022, un decreto interministeriale, assicurando il rispetto del limite di spesa di 50 milioni di euro.</w:t>
      </w:r>
    </w:p>
    <w:p w14:paraId="56D531DF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AFA6D1" w14:textId="0E03A50A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>A questo fine per l’anno 2022, si dispone il ricorso a risorse provenienti dal Fondo sociale per occupazione e formazione (DL 185/2008). Per gli anni successivi al 2022, dovrà essere emanato un apposito provvedimento legislativo che dovrà tenere conto anche dell’andamento dei benefici riconosciuti con la legge in commento.</w:t>
      </w:r>
    </w:p>
    <w:p w14:paraId="569F9B68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19CBCF" w14:textId="77777777" w:rsidR="001C3027" w:rsidRPr="000806B0" w:rsidRDefault="001C3027" w:rsidP="001C30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6B0">
        <w:rPr>
          <w:rFonts w:ascii="Arial" w:hAnsi="Arial" w:cs="Arial"/>
          <w:color w:val="000000" w:themeColor="text1"/>
          <w:sz w:val="24"/>
          <w:szCs w:val="24"/>
        </w:rPr>
        <w:t>Seguiremo l’emanazione dei decreti e vi terremo informati.</w:t>
      </w:r>
    </w:p>
    <w:p w14:paraId="68866CE5" w14:textId="77777777" w:rsidR="00457ED2" w:rsidRPr="000806B0" w:rsidRDefault="00457ED2"/>
    <w:sectPr w:rsidR="00457ED2" w:rsidRPr="00080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1AE7"/>
    <w:multiLevelType w:val="hybridMultilevel"/>
    <w:tmpl w:val="A87AE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117A"/>
    <w:multiLevelType w:val="hybridMultilevel"/>
    <w:tmpl w:val="6B60D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27"/>
    <w:rsid w:val="00056630"/>
    <w:rsid w:val="000806B0"/>
    <w:rsid w:val="001C3027"/>
    <w:rsid w:val="001F6641"/>
    <w:rsid w:val="00222BE0"/>
    <w:rsid w:val="00242E2F"/>
    <w:rsid w:val="002F2794"/>
    <w:rsid w:val="002F509A"/>
    <w:rsid w:val="00303ADA"/>
    <w:rsid w:val="00314B7C"/>
    <w:rsid w:val="00317D37"/>
    <w:rsid w:val="003238BE"/>
    <w:rsid w:val="004072A3"/>
    <w:rsid w:val="00457ED2"/>
    <w:rsid w:val="0046619D"/>
    <w:rsid w:val="004A50AB"/>
    <w:rsid w:val="004D240D"/>
    <w:rsid w:val="00505560"/>
    <w:rsid w:val="00591E40"/>
    <w:rsid w:val="005F2BEA"/>
    <w:rsid w:val="00642031"/>
    <w:rsid w:val="00661CDD"/>
    <w:rsid w:val="00670B8C"/>
    <w:rsid w:val="006854F9"/>
    <w:rsid w:val="006B0C4C"/>
    <w:rsid w:val="00751FE8"/>
    <w:rsid w:val="00822DDB"/>
    <w:rsid w:val="00843D88"/>
    <w:rsid w:val="00887698"/>
    <w:rsid w:val="0090663D"/>
    <w:rsid w:val="009115BD"/>
    <w:rsid w:val="00916BCA"/>
    <w:rsid w:val="00951D75"/>
    <w:rsid w:val="00952664"/>
    <w:rsid w:val="00A6234C"/>
    <w:rsid w:val="00A716A0"/>
    <w:rsid w:val="00A77E5D"/>
    <w:rsid w:val="00A817F4"/>
    <w:rsid w:val="00AB6126"/>
    <w:rsid w:val="00B53B0A"/>
    <w:rsid w:val="00B754F4"/>
    <w:rsid w:val="00B97B80"/>
    <w:rsid w:val="00C1757B"/>
    <w:rsid w:val="00CD68AF"/>
    <w:rsid w:val="00DA4DA0"/>
    <w:rsid w:val="00E6367F"/>
    <w:rsid w:val="00E7022C"/>
    <w:rsid w:val="00E73631"/>
    <w:rsid w:val="00EC7363"/>
    <w:rsid w:val="00F231C9"/>
    <w:rsid w:val="00F56861"/>
    <w:rsid w:val="00F807F5"/>
    <w:rsid w:val="00F86EE8"/>
    <w:rsid w:val="00FF19B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A57D"/>
  <w15:chartTrackingRefBased/>
  <w15:docId w15:val="{1B76DFE4-AB94-4F95-A8FA-523D5266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02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Scorza Lucia</dc:creator>
  <cp:keywords/>
  <dc:description/>
  <cp:lastModifiedBy>Scorza Lucia</cp:lastModifiedBy>
  <cp:revision>98</cp:revision>
  <dcterms:created xsi:type="dcterms:W3CDTF">2021-12-07T17:48:00Z</dcterms:created>
  <dcterms:modified xsi:type="dcterms:W3CDTF">2021-12-09T10:23:00Z</dcterms:modified>
</cp:coreProperties>
</file>