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BA0762" w14:textId="6A58AF65" w:rsidR="00717A8D" w:rsidRPr="00015711" w:rsidRDefault="00186219" w:rsidP="0044661B">
      <w:pPr>
        <w:jc w:val="center"/>
        <w:rPr>
          <w:rFonts w:ascii="Arial" w:hAnsi="Arial" w:cs="Arial"/>
          <w:b/>
          <w:bCs/>
          <w:smallCaps/>
          <w:sz w:val="24"/>
          <w:szCs w:val="24"/>
        </w:rPr>
      </w:pPr>
      <w:r w:rsidRPr="00015711">
        <w:rPr>
          <w:rFonts w:ascii="Arial" w:hAnsi="Arial" w:cs="Arial"/>
          <w:b/>
          <w:bCs/>
          <w:smallCaps/>
          <w:sz w:val="24"/>
          <w:szCs w:val="24"/>
        </w:rPr>
        <w:t xml:space="preserve">Riflessioni generali </w:t>
      </w:r>
      <w:r w:rsidR="00491B54" w:rsidRPr="00015711">
        <w:rPr>
          <w:rFonts w:ascii="Arial" w:hAnsi="Arial" w:cs="Arial"/>
          <w:b/>
          <w:bCs/>
          <w:smallCaps/>
          <w:sz w:val="24"/>
          <w:szCs w:val="24"/>
        </w:rPr>
        <w:t xml:space="preserve">sugli </w:t>
      </w:r>
      <w:r w:rsidR="00A57100" w:rsidRPr="00015711">
        <w:rPr>
          <w:rFonts w:ascii="Arial" w:hAnsi="Arial" w:cs="Arial"/>
          <w:b/>
          <w:bCs/>
          <w:smallCaps/>
          <w:sz w:val="24"/>
          <w:szCs w:val="24"/>
        </w:rPr>
        <w:t xml:space="preserve">standard </w:t>
      </w:r>
      <w:r w:rsidRPr="00015711">
        <w:rPr>
          <w:rFonts w:ascii="Arial" w:hAnsi="Arial" w:cs="Arial"/>
          <w:b/>
          <w:bCs/>
          <w:smallCaps/>
          <w:sz w:val="24"/>
          <w:szCs w:val="24"/>
        </w:rPr>
        <w:t>di sostenibilità EFRAG</w:t>
      </w:r>
    </w:p>
    <w:p w14:paraId="468F8DDA" w14:textId="0C41B8B8" w:rsidR="00433749" w:rsidRPr="00015711" w:rsidRDefault="00433749" w:rsidP="00380390">
      <w:pPr>
        <w:jc w:val="both"/>
        <w:rPr>
          <w:rFonts w:ascii="Arial" w:hAnsi="Arial" w:cs="Arial"/>
          <w:sz w:val="24"/>
          <w:szCs w:val="24"/>
        </w:rPr>
      </w:pPr>
    </w:p>
    <w:p w14:paraId="619277FE" w14:textId="77777777" w:rsidR="00186219" w:rsidRPr="00015711" w:rsidRDefault="00186219" w:rsidP="00380390">
      <w:pPr>
        <w:jc w:val="both"/>
        <w:rPr>
          <w:rFonts w:ascii="Arial" w:hAnsi="Arial" w:cs="Arial"/>
          <w:b/>
          <w:bCs/>
          <w:sz w:val="24"/>
          <w:szCs w:val="24"/>
        </w:rPr>
      </w:pPr>
    </w:p>
    <w:p w14:paraId="13D22FFE" w14:textId="08EC62A5" w:rsidR="00186219" w:rsidRPr="00015711" w:rsidRDefault="00A96E2D" w:rsidP="00380390">
      <w:pPr>
        <w:jc w:val="both"/>
        <w:rPr>
          <w:rFonts w:ascii="Arial" w:hAnsi="Arial" w:cs="Arial"/>
          <w:sz w:val="24"/>
          <w:szCs w:val="24"/>
        </w:rPr>
      </w:pPr>
      <w:r w:rsidRPr="00015711">
        <w:rPr>
          <w:rFonts w:ascii="Arial" w:hAnsi="Arial" w:cs="Arial"/>
          <w:sz w:val="24"/>
          <w:szCs w:val="24"/>
        </w:rPr>
        <w:t>L</w:t>
      </w:r>
      <w:r w:rsidR="00756100" w:rsidRPr="00015711">
        <w:rPr>
          <w:rFonts w:ascii="Arial" w:hAnsi="Arial" w:cs="Arial"/>
          <w:sz w:val="24"/>
          <w:szCs w:val="24"/>
        </w:rPr>
        <w:t xml:space="preserve">a </w:t>
      </w:r>
      <w:r w:rsidR="00BA29FE" w:rsidRPr="00015711">
        <w:rPr>
          <w:rFonts w:ascii="Arial" w:hAnsi="Arial" w:cs="Arial"/>
          <w:sz w:val="24"/>
          <w:szCs w:val="24"/>
        </w:rPr>
        <w:t xml:space="preserve">proposta di </w:t>
      </w:r>
      <w:r w:rsidR="00756100" w:rsidRPr="00015711">
        <w:rPr>
          <w:rFonts w:ascii="Arial" w:hAnsi="Arial" w:cs="Arial"/>
          <w:sz w:val="24"/>
          <w:szCs w:val="24"/>
        </w:rPr>
        <w:t xml:space="preserve">direttiva </w:t>
      </w:r>
      <w:r w:rsidR="00B967C9" w:rsidRPr="00015711">
        <w:rPr>
          <w:rFonts w:ascii="Arial" w:hAnsi="Arial" w:cs="Arial"/>
          <w:sz w:val="24"/>
          <w:szCs w:val="24"/>
        </w:rPr>
        <w:t>sulla comunicazione societaria in tema di sostenibilità</w:t>
      </w:r>
      <w:r w:rsidR="005E4F75" w:rsidRPr="00015711">
        <w:rPr>
          <w:rFonts w:ascii="Arial" w:hAnsi="Arial" w:cs="Arial"/>
          <w:sz w:val="24"/>
          <w:szCs w:val="24"/>
        </w:rPr>
        <w:t xml:space="preserve"> (</w:t>
      </w:r>
      <w:r w:rsidR="004D447F" w:rsidRPr="00015711">
        <w:rPr>
          <w:rFonts w:ascii="Arial" w:hAnsi="Arial" w:cs="Arial"/>
          <w:sz w:val="24"/>
          <w:szCs w:val="24"/>
        </w:rPr>
        <w:t xml:space="preserve">d’ora in poi </w:t>
      </w:r>
      <w:r w:rsidR="005E4F75" w:rsidRPr="00015711">
        <w:rPr>
          <w:rFonts w:ascii="Arial" w:hAnsi="Arial" w:cs="Arial"/>
          <w:sz w:val="24"/>
          <w:szCs w:val="24"/>
        </w:rPr>
        <w:t>direttiva</w:t>
      </w:r>
      <w:r w:rsidR="001369D3" w:rsidRPr="00015711">
        <w:rPr>
          <w:rFonts w:ascii="Arial" w:hAnsi="Arial" w:cs="Arial"/>
          <w:sz w:val="24"/>
          <w:szCs w:val="24"/>
        </w:rPr>
        <w:t xml:space="preserve"> CSRD</w:t>
      </w:r>
      <w:r w:rsidR="005E4F75" w:rsidRPr="00015711">
        <w:rPr>
          <w:rFonts w:ascii="Arial" w:hAnsi="Arial" w:cs="Arial"/>
          <w:sz w:val="24"/>
          <w:szCs w:val="24"/>
        </w:rPr>
        <w:t>)</w:t>
      </w:r>
      <w:r w:rsidR="00566F0A" w:rsidRPr="00015711">
        <w:rPr>
          <w:rFonts w:ascii="Arial" w:hAnsi="Arial" w:cs="Arial"/>
          <w:sz w:val="24"/>
          <w:szCs w:val="24"/>
        </w:rPr>
        <w:t xml:space="preserve"> ha af</w:t>
      </w:r>
      <w:r w:rsidR="002F6ECB" w:rsidRPr="00015711">
        <w:rPr>
          <w:rFonts w:ascii="Arial" w:hAnsi="Arial" w:cs="Arial"/>
          <w:sz w:val="24"/>
          <w:szCs w:val="24"/>
        </w:rPr>
        <w:t>f</w:t>
      </w:r>
      <w:r w:rsidR="00566F0A" w:rsidRPr="00015711">
        <w:rPr>
          <w:rFonts w:ascii="Arial" w:hAnsi="Arial" w:cs="Arial"/>
          <w:sz w:val="24"/>
          <w:szCs w:val="24"/>
        </w:rPr>
        <w:t xml:space="preserve">idato </w:t>
      </w:r>
      <w:r w:rsidR="002F6ECB" w:rsidRPr="00015711">
        <w:rPr>
          <w:rFonts w:ascii="Arial" w:hAnsi="Arial" w:cs="Arial"/>
          <w:sz w:val="24"/>
          <w:szCs w:val="24"/>
        </w:rPr>
        <w:t xml:space="preserve">alla Commissione europea il compito di definire gli </w:t>
      </w:r>
      <w:r w:rsidR="000C6996" w:rsidRPr="00015711">
        <w:rPr>
          <w:rFonts w:ascii="Arial" w:hAnsi="Arial" w:cs="Arial"/>
          <w:sz w:val="24"/>
          <w:szCs w:val="24"/>
        </w:rPr>
        <w:t>standard</w:t>
      </w:r>
      <w:r w:rsidR="002F6ECB" w:rsidRPr="00015711">
        <w:rPr>
          <w:rFonts w:ascii="Arial" w:hAnsi="Arial" w:cs="Arial"/>
          <w:sz w:val="24"/>
          <w:szCs w:val="24"/>
        </w:rPr>
        <w:t xml:space="preserve"> di rendicontazione </w:t>
      </w:r>
      <w:r w:rsidR="00E723D6" w:rsidRPr="00015711">
        <w:rPr>
          <w:rFonts w:ascii="Arial" w:hAnsi="Arial" w:cs="Arial"/>
          <w:sz w:val="24"/>
          <w:szCs w:val="24"/>
        </w:rPr>
        <w:t xml:space="preserve">in tema di sostenibilità sulla base </w:t>
      </w:r>
      <w:r w:rsidR="0044698D" w:rsidRPr="00015711">
        <w:rPr>
          <w:rFonts w:ascii="Arial" w:hAnsi="Arial" w:cs="Arial"/>
          <w:sz w:val="24"/>
          <w:szCs w:val="24"/>
        </w:rPr>
        <w:t>della consulenza dell’EFRAG</w:t>
      </w:r>
      <w:r w:rsidR="00A953A6" w:rsidRPr="00015711">
        <w:rPr>
          <w:rFonts w:ascii="Arial" w:hAnsi="Arial" w:cs="Arial"/>
          <w:sz w:val="24"/>
          <w:szCs w:val="24"/>
        </w:rPr>
        <w:t>. I</w:t>
      </w:r>
      <w:r w:rsidR="009239C5" w:rsidRPr="00015711">
        <w:rPr>
          <w:rFonts w:ascii="Arial" w:hAnsi="Arial" w:cs="Arial"/>
          <w:sz w:val="24"/>
          <w:szCs w:val="24"/>
        </w:rPr>
        <w:t>n attuazione di questa previsione</w:t>
      </w:r>
      <w:r w:rsidR="00B967C9" w:rsidRPr="00015711">
        <w:rPr>
          <w:rFonts w:ascii="Arial" w:hAnsi="Arial" w:cs="Arial"/>
          <w:sz w:val="24"/>
          <w:szCs w:val="24"/>
        </w:rPr>
        <w:t>, i</w:t>
      </w:r>
      <w:r w:rsidR="00C277AA" w:rsidRPr="00015711">
        <w:rPr>
          <w:rFonts w:ascii="Arial" w:hAnsi="Arial" w:cs="Arial"/>
          <w:sz w:val="24"/>
          <w:szCs w:val="24"/>
        </w:rPr>
        <w:t xml:space="preserve">l 29 aprile </w:t>
      </w:r>
      <w:r w:rsidR="008B003A" w:rsidRPr="00015711">
        <w:rPr>
          <w:rFonts w:ascii="Arial" w:hAnsi="Arial" w:cs="Arial"/>
          <w:sz w:val="24"/>
          <w:szCs w:val="24"/>
        </w:rPr>
        <w:t xml:space="preserve">2022 l’EFRAG ha pubblicato </w:t>
      </w:r>
      <w:r w:rsidR="00C771D4" w:rsidRPr="00015711">
        <w:rPr>
          <w:rFonts w:ascii="Arial" w:hAnsi="Arial" w:cs="Arial"/>
          <w:sz w:val="24"/>
          <w:szCs w:val="24"/>
        </w:rPr>
        <w:t xml:space="preserve">le bozze di una serie di </w:t>
      </w:r>
      <w:r w:rsidR="00292115" w:rsidRPr="00015711">
        <w:rPr>
          <w:rFonts w:ascii="Arial" w:hAnsi="Arial" w:cs="Arial"/>
          <w:sz w:val="24"/>
          <w:szCs w:val="24"/>
        </w:rPr>
        <w:t>standard in tema di sostenibilità, aprendo una consultazione</w:t>
      </w:r>
      <w:r w:rsidR="00FC7EEB" w:rsidRPr="00015711">
        <w:rPr>
          <w:rFonts w:ascii="Arial" w:hAnsi="Arial" w:cs="Arial"/>
          <w:sz w:val="24"/>
          <w:szCs w:val="24"/>
        </w:rPr>
        <w:t xml:space="preserve"> che scade l’8 agosto.</w:t>
      </w:r>
      <w:r w:rsidR="002603EA" w:rsidRPr="00015711">
        <w:rPr>
          <w:rFonts w:ascii="Arial" w:hAnsi="Arial" w:cs="Arial"/>
          <w:sz w:val="24"/>
          <w:szCs w:val="24"/>
        </w:rPr>
        <w:t xml:space="preserve"> Gli standard in consultazione </w:t>
      </w:r>
      <w:r w:rsidR="00B724FD" w:rsidRPr="00015711">
        <w:rPr>
          <w:rFonts w:ascii="Arial" w:hAnsi="Arial" w:cs="Arial"/>
          <w:sz w:val="24"/>
          <w:szCs w:val="24"/>
        </w:rPr>
        <w:t>sono</w:t>
      </w:r>
      <w:r w:rsidR="00B90ED7" w:rsidRPr="00015711">
        <w:rPr>
          <w:rFonts w:ascii="Arial" w:hAnsi="Arial" w:cs="Arial"/>
          <w:sz w:val="24"/>
          <w:szCs w:val="24"/>
        </w:rPr>
        <w:t>:</w:t>
      </w:r>
      <w:r w:rsidR="00B724FD" w:rsidRPr="00015711">
        <w:rPr>
          <w:rFonts w:ascii="Arial" w:hAnsi="Arial" w:cs="Arial"/>
          <w:sz w:val="24"/>
          <w:szCs w:val="24"/>
        </w:rPr>
        <w:t xml:space="preserve"> due trasversali</w:t>
      </w:r>
      <w:r w:rsidR="00B90ED7" w:rsidRPr="00015711">
        <w:rPr>
          <w:rFonts w:ascii="Arial" w:hAnsi="Arial" w:cs="Arial"/>
          <w:sz w:val="24"/>
          <w:szCs w:val="24"/>
        </w:rPr>
        <w:t xml:space="preserve">, che pongono i principi generali; </w:t>
      </w:r>
      <w:r w:rsidR="002731F5" w:rsidRPr="00015711">
        <w:rPr>
          <w:rFonts w:ascii="Arial" w:hAnsi="Arial" w:cs="Arial"/>
          <w:sz w:val="24"/>
          <w:szCs w:val="24"/>
        </w:rPr>
        <w:t>cinque in ambito ambientale; quattro in ambito sociale; due in ambito di governance</w:t>
      </w:r>
      <w:r w:rsidR="00967442" w:rsidRPr="00015711">
        <w:rPr>
          <w:rFonts w:ascii="Arial" w:hAnsi="Arial" w:cs="Arial"/>
          <w:sz w:val="24"/>
          <w:szCs w:val="24"/>
        </w:rPr>
        <w:t>. Rispetto al quadro complessivo</w:t>
      </w:r>
      <w:r w:rsidR="00BA4E82" w:rsidRPr="00015711">
        <w:rPr>
          <w:rFonts w:ascii="Arial" w:hAnsi="Arial" w:cs="Arial"/>
          <w:sz w:val="24"/>
          <w:szCs w:val="24"/>
        </w:rPr>
        <w:t xml:space="preserve"> finale</w:t>
      </w:r>
      <w:r w:rsidR="00B90ED7" w:rsidRPr="00015711">
        <w:rPr>
          <w:rFonts w:ascii="Arial" w:hAnsi="Arial" w:cs="Arial"/>
          <w:sz w:val="24"/>
          <w:szCs w:val="24"/>
        </w:rPr>
        <w:t xml:space="preserve">, </w:t>
      </w:r>
      <w:r w:rsidR="00967442" w:rsidRPr="00015711">
        <w:rPr>
          <w:rFonts w:ascii="Arial" w:hAnsi="Arial" w:cs="Arial"/>
          <w:sz w:val="24"/>
          <w:szCs w:val="24"/>
        </w:rPr>
        <w:t xml:space="preserve">non sono </w:t>
      </w:r>
      <w:r w:rsidR="00BA4E82" w:rsidRPr="00015711">
        <w:rPr>
          <w:rFonts w:ascii="Arial" w:hAnsi="Arial" w:cs="Arial"/>
          <w:sz w:val="24"/>
          <w:szCs w:val="24"/>
        </w:rPr>
        <w:t>ancora oggetto di consultazione gli standard di settore e quelli relativi alle PMI.</w:t>
      </w:r>
      <w:r w:rsidR="00B90ED7" w:rsidRPr="00015711">
        <w:rPr>
          <w:rFonts w:ascii="Arial" w:hAnsi="Arial" w:cs="Arial"/>
          <w:sz w:val="24"/>
          <w:szCs w:val="24"/>
        </w:rPr>
        <w:t xml:space="preserve"> </w:t>
      </w:r>
    </w:p>
    <w:p w14:paraId="50C8131A" w14:textId="40421C80" w:rsidR="00B143F1" w:rsidRPr="00015711" w:rsidRDefault="00BF02EB" w:rsidP="00380390">
      <w:pPr>
        <w:jc w:val="both"/>
        <w:rPr>
          <w:rFonts w:ascii="Arial" w:hAnsi="Arial" w:cs="Arial"/>
          <w:sz w:val="24"/>
          <w:szCs w:val="24"/>
        </w:rPr>
      </w:pPr>
      <w:r w:rsidRPr="00015711">
        <w:rPr>
          <w:rFonts w:ascii="Arial" w:hAnsi="Arial" w:cs="Arial"/>
          <w:sz w:val="24"/>
          <w:szCs w:val="24"/>
        </w:rPr>
        <w:t>Nell’a</w:t>
      </w:r>
      <w:r w:rsidR="007C39EA" w:rsidRPr="00015711">
        <w:rPr>
          <w:rFonts w:ascii="Arial" w:hAnsi="Arial" w:cs="Arial"/>
          <w:sz w:val="24"/>
          <w:szCs w:val="24"/>
        </w:rPr>
        <w:t xml:space="preserve">pprezzare lo sforzo profuso, che ha prodotto </w:t>
      </w:r>
      <w:r w:rsidR="00B143F1" w:rsidRPr="00015711">
        <w:rPr>
          <w:rFonts w:ascii="Arial" w:hAnsi="Arial" w:cs="Arial"/>
          <w:sz w:val="24"/>
          <w:szCs w:val="24"/>
        </w:rPr>
        <w:t>una serie di standard di elevata qualità, si propongono alcune riflessioni di carattere generale su alcuni punti che si ritengono maggiormente critici e che dovrebbero essere oggetto di un supplemento di riflessione.</w:t>
      </w:r>
    </w:p>
    <w:p w14:paraId="7F0B2575" w14:textId="4ADF1D4F" w:rsidR="00514EA1" w:rsidRPr="00015711" w:rsidRDefault="008844AA" w:rsidP="00456127">
      <w:pPr>
        <w:jc w:val="both"/>
        <w:rPr>
          <w:rFonts w:ascii="Arial" w:hAnsi="Arial" w:cs="Arial"/>
          <w:b/>
          <w:bCs/>
          <w:sz w:val="24"/>
          <w:szCs w:val="24"/>
        </w:rPr>
      </w:pPr>
      <w:r w:rsidRPr="00015711">
        <w:rPr>
          <w:rFonts w:ascii="Arial" w:hAnsi="Arial" w:cs="Arial"/>
          <w:b/>
          <w:bCs/>
          <w:sz w:val="24"/>
          <w:szCs w:val="24"/>
        </w:rPr>
        <w:t xml:space="preserve">I criteri direttivi </w:t>
      </w:r>
      <w:r w:rsidR="00EA06C4" w:rsidRPr="00015711">
        <w:rPr>
          <w:rFonts w:ascii="Arial" w:hAnsi="Arial" w:cs="Arial"/>
          <w:b/>
          <w:bCs/>
          <w:sz w:val="24"/>
          <w:szCs w:val="24"/>
        </w:rPr>
        <w:t>nell’adozione degli standard</w:t>
      </w:r>
    </w:p>
    <w:p w14:paraId="305F89D0" w14:textId="16EC21A3" w:rsidR="005E751C" w:rsidRPr="00015711" w:rsidRDefault="009B2A32" w:rsidP="006D6AF7">
      <w:pPr>
        <w:jc w:val="both"/>
        <w:rPr>
          <w:rFonts w:ascii="Arial" w:hAnsi="Arial" w:cs="Arial"/>
          <w:sz w:val="24"/>
          <w:szCs w:val="24"/>
        </w:rPr>
      </w:pPr>
      <w:r w:rsidRPr="00015711">
        <w:rPr>
          <w:rFonts w:ascii="Arial" w:hAnsi="Arial" w:cs="Arial"/>
          <w:sz w:val="24"/>
          <w:szCs w:val="24"/>
        </w:rPr>
        <w:t xml:space="preserve">Gli standard che devono essere adottati dalla Commissione </w:t>
      </w:r>
      <w:r w:rsidR="00607286" w:rsidRPr="00015711">
        <w:rPr>
          <w:rFonts w:ascii="Arial" w:hAnsi="Arial" w:cs="Arial"/>
          <w:sz w:val="24"/>
          <w:szCs w:val="24"/>
        </w:rPr>
        <w:t xml:space="preserve">europea </w:t>
      </w:r>
      <w:r w:rsidR="001C5518" w:rsidRPr="00015711">
        <w:rPr>
          <w:rFonts w:ascii="Arial" w:hAnsi="Arial" w:cs="Arial"/>
          <w:sz w:val="24"/>
          <w:szCs w:val="24"/>
        </w:rPr>
        <w:t xml:space="preserve">non solo </w:t>
      </w:r>
      <w:r w:rsidR="00340FCD" w:rsidRPr="00015711">
        <w:rPr>
          <w:rFonts w:ascii="Arial" w:hAnsi="Arial" w:cs="Arial"/>
          <w:sz w:val="24"/>
          <w:szCs w:val="24"/>
        </w:rPr>
        <w:t xml:space="preserve">devono riguardare campi tematici </w:t>
      </w:r>
      <w:r w:rsidR="00832A5D" w:rsidRPr="00015711">
        <w:rPr>
          <w:rFonts w:ascii="Arial" w:hAnsi="Arial" w:cs="Arial"/>
          <w:sz w:val="24"/>
          <w:szCs w:val="24"/>
        </w:rPr>
        <w:t xml:space="preserve">ben </w:t>
      </w:r>
      <w:r w:rsidR="00340FCD" w:rsidRPr="00015711">
        <w:rPr>
          <w:rFonts w:ascii="Arial" w:hAnsi="Arial" w:cs="Arial"/>
          <w:sz w:val="24"/>
          <w:szCs w:val="24"/>
        </w:rPr>
        <w:t xml:space="preserve">delineati ma devono </w:t>
      </w:r>
      <w:r w:rsidR="004019D6" w:rsidRPr="00015711">
        <w:rPr>
          <w:rFonts w:ascii="Arial" w:hAnsi="Arial" w:cs="Arial"/>
          <w:sz w:val="24"/>
          <w:szCs w:val="24"/>
        </w:rPr>
        <w:t xml:space="preserve">anche rispondere a precisi criteri generali </w:t>
      </w:r>
      <w:r w:rsidR="00FA47F8" w:rsidRPr="00015711">
        <w:rPr>
          <w:rFonts w:ascii="Arial" w:hAnsi="Arial" w:cs="Arial"/>
          <w:sz w:val="24"/>
          <w:szCs w:val="24"/>
        </w:rPr>
        <w:t>indicati dalla direttiva</w:t>
      </w:r>
      <w:r w:rsidR="005428A3" w:rsidRPr="00015711">
        <w:rPr>
          <w:rFonts w:ascii="Arial" w:hAnsi="Arial" w:cs="Arial"/>
          <w:sz w:val="24"/>
          <w:szCs w:val="24"/>
        </w:rPr>
        <w:t xml:space="preserve"> CSRD</w:t>
      </w:r>
      <w:r w:rsidR="005E751C" w:rsidRPr="00015711">
        <w:rPr>
          <w:rFonts w:ascii="Arial" w:hAnsi="Arial" w:cs="Arial"/>
          <w:sz w:val="24"/>
          <w:szCs w:val="24"/>
        </w:rPr>
        <w:t>.</w:t>
      </w:r>
      <w:r w:rsidR="006F250C" w:rsidRPr="00015711">
        <w:rPr>
          <w:rFonts w:ascii="Arial" w:hAnsi="Arial" w:cs="Arial"/>
          <w:sz w:val="24"/>
          <w:szCs w:val="24"/>
        </w:rPr>
        <w:t xml:space="preserve"> Si deve tener conto</w:t>
      </w:r>
      <w:r w:rsidR="000F2332" w:rsidRPr="00015711">
        <w:rPr>
          <w:rFonts w:ascii="Arial" w:hAnsi="Arial" w:cs="Arial"/>
          <w:sz w:val="24"/>
          <w:szCs w:val="24"/>
        </w:rPr>
        <w:t>,</w:t>
      </w:r>
      <w:r w:rsidR="006F250C" w:rsidRPr="00015711">
        <w:rPr>
          <w:rFonts w:ascii="Arial" w:hAnsi="Arial" w:cs="Arial"/>
          <w:sz w:val="24"/>
          <w:szCs w:val="24"/>
        </w:rPr>
        <w:t xml:space="preserve"> a questo proposito</w:t>
      </w:r>
      <w:r w:rsidR="000F2332" w:rsidRPr="00015711">
        <w:rPr>
          <w:rFonts w:ascii="Arial" w:hAnsi="Arial" w:cs="Arial"/>
          <w:sz w:val="24"/>
          <w:szCs w:val="24"/>
        </w:rPr>
        <w:t>,</w:t>
      </w:r>
      <w:r w:rsidR="006F250C" w:rsidRPr="00015711">
        <w:rPr>
          <w:rFonts w:ascii="Arial" w:hAnsi="Arial" w:cs="Arial"/>
          <w:sz w:val="24"/>
          <w:szCs w:val="24"/>
        </w:rPr>
        <w:t xml:space="preserve"> che </w:t>
      </w:r>
      <w:r w:rsidR="00E71A33" w:rsidRPr="00015711">
        <w:rPr>
          <w:rFonts w:ascii="Arial" w:hAnsi="Arial" w:cs="Arial"/>
          <w:sz w:val="24"/>
          <w:szCs w:val="24"/>
        </w:rPr>
        <w:t>il testo finale della direttiva presenta de</w:t>
      </w:r>
      <w:r w:rsidR="0006718B" w:rsidRPr="00015711">
        <w:rPr>
          <w:rFonts w:ascii="Arial" w:hAnsi="Arial" w:cs="Arial"/>
          <w:sz w:val="24"/>
          <w:szCs w:val="24"/>
        </w:rPr>
        <w:t xml:space="preserve">lle significative novità </w:t>
      </w:r>
      <w:r w:rsidR="00772971" w:rsidRPr="00015711">
        <w:rPr>
          <w:rFonts w:ascii="Arial" w:hAnsi="Arial" w:cs="Arial"/>
          <w:sz w:val="24"/>
          <w:szCs w:val="24"/>
        </w:rPr>
        <w:t xml:space="preserve">rispetto al testo sulla base del quale sono </w:t>
      </w:r>
      <w:r w:rsidR="007138C9" w:rsidRPr="00015711">
        <w:rPr>
          <w:rFonts w:ascii="Arial" w:hAnsi="Arial" w:cs="Arial"/>
          <w:sz w:val="24"/>
          <w:szCs w:val="24"/>
        </w:rPr>
        <w:t>stati elaborate le bozze di standard</w:t>
      </w:r>
      <w:r w:rsidR="00136AB7" w:rsidRPr="00015711">
        <w:rPr>
          <w:rFonts w:ascii="Arial" w:hAnsi="Arial" w:cs="Arial"/>
          <w:sz w:val="24"/>
          <w:szCs w:val="24"/>
        </w:rPr>
        <w:t>. Di conseguenza,</w:t>
      </w:r>
      <w:r w:rsidR="007138C9" w:rsidRPr="00015711">
        <w:rPr>
          <w:rFonts w:ascii="Arial" w:hAnsi="Arial" w:cs="Arial"/>
          <w:sz w:val="24"/>
          <w:szCs w:val="24"/>
        </w:rPr>
        <w:t xml:space="preserve"> </w:t>
      </w:r>
      <w:r w:rsidR="007E4B0C" w:rsidRPr="00015711">
        <w:rPr>
          <w:rFonts w:ascii="Arial" w:hAnsi="Arial" w:cs="Arial"/>
          <w:sz w:val="24"/>
          <w:szCs w:val="24"/>
        </w:rPr>
        <w:t xml:space="preserve">la versione finale degli standard deve considerare </w:t>
      </w:r>
      <w:r w:rsidR="003161B3" w:rsidRPr="00015711">
        <w:rPr>
          <w:rFonts w:ascii="Arial" w:hAnsi="Arial" w:cs="Arial"/>
          <w:sz w:val="24"/>
          <w:szCs w:val="24"/>
        </w:rPr>
        <w:t>in modo adeguato e allinearsi alla nuova versione della direttiva.</w:t>
      </w:r>
    </w:p>
    <w:p w14:paraId="6FB82A4F" w14:textId="77777777" w:rsidR="00906E7C" w:rsidRPr="00015711" w:rsidRDefault="00197843" w:rsidP="00067316">
      <w:pPr>
        <w:tabs>
          <w:tab w:val="num" w:pos="720"/>
        </w:tabs>
        <w:jc w:val="both"/>
        <w:rPr>
          <w:rFonts w:ascii="Arial" w:hAnsi="Arial" w:cs="Arial"/>
          <w:color w:val="FF0000"/>
          <w:sz w:val="24"/>
          <w:szCs w:val="24"/>
        </w:rPr>
      </w:pPr>
      <w:r w:rsidRPr="00015711">
        <w:rPr>
          <w:rFonts w:ascii="Arial" w:hAnsi="Arial" w:cs="Arial"/>
          <w:sz w:val="24"/>
          <w:szCs w:val="24"/>
        </w:rPr>
        <w:t>L</w:t>
      </w:r>
      <w:r w:rsidR="00E33047" w:rsidRPr="00015711">
        <w:rPr>
          <w:rFonts w:ascii="Arial" w:hAnsi="Arial" w:cs="Arial"/>
          <w:sz w:val="24"/>
          <w:szCs w:val="24"/>
        </w:rPr>
        <w:t>a direttiva indica</w:t>
      </w:r>
      <w:r w:rsidR="00110DD8" w:rsidRPr="00015711">
        <w:rPr>
          <w:rFonts w:ascii="Arial" w:hAnsi="Arial" w:cs="Arial"/>
          <w:sz w:val="24"/>
          <w:szCs w:val="24"/>
        </w:rPr>
        <w:t>,</w:t>
      </w:r>
      <w:r w:rsidR="00E33047" w:rsidRPr="00015711">
        <w:rPr>
          <w:rFonts w:ascii="Arial" w:hAnsi="Arial" w:cs="Arial"/>
          <w:sz w:val="24"/>
          <w:szCs w:val="24"/>
        </w:rPr>
        <w:t xml:space="preserve"> </w:t>
      </w:r>
      <w:r w:rsidR="006D6AF7" w:rsidRPr="00015711">
        <w:rPr>
          <w:rFonts w:ascii="Arial" w:hAnsi="Arial" w:cs="Arial"/>
          <w:sz w:val="24"/>
          <w:szCs w:val="24"/>
        </w:rPr>
        <w:t>in primo luogo</w:t>
      </w:r>
      <w:r w:rsidR="00110DD8" w:rsidRPr="00015711">
        <w:rPr>
          <w:rFonts w:ascii="Arial" w:hAnsi="Arial" w:cs="Arial"/>
          <w:sz w:val="24"/>
          <w:szCs w:val="24"/>
        </w:rPr>
        <w:t>,</w:t>
      </w:r>
      <w:r w:rsidR="006D6AF7" w:rsidRPr="00015711">
        <w:rPr>
          <w:rFonts w:ascii="Arial" w:hAnsi="Arial" w:cs="Arial"/>
          <w:sz w:val="24"/>
          <w:szCs w:val="24"/>
        </w:rPr>
        <w:t xml:space="preserve"> </w:t>
      </w:r>
      <w:r w:rsidR="00E33047" w:rsidRPr="00015711">
        <w:rPr>
          <w:rFonts w:ascii="Arial" w:hAnsi="Arial" w:cs="Arial"/>
          <w:sz w:val="24"/>
          <w:szCs w:val="24"/>
        </w:rPr>
        <w:t>gli argomenti che devono e</w:t>
      </w:r>
      <w:r w:rsidR="00FB4901" w:rsidRPr="00015711">
        <w:rPr>
          <w:rFonts w:ascii="Arial" w:hAnsi="Arial" w:cs="Arial"/>
          <w:sz w:val="24"/>
          <w:szCs w:val="24"/>
        </w:rPr>
        <w:t xml:space="preserve">ssere affrontati per ogni </w:t>
      </w:r>
      <w:r w:rsidR="002D0726" w:rsidRPr="00015711">
        <w:rPr>
          <w:rFonts w:ascii="Arial" w:hAnsi="Arial" w:cs="Arial"/>
          <w:sz w:val="24"/>
          <w:szCs w:val="24"/>
        </w:rPr>
        <w:t>fattore di sostenibilità</w:t>
      </w:r>
      <w:r w:rsidR="00A953A6" w:rsidRPr="00015711">
        <w:rPr>
          <w:rFonts w:ascii="Arial" w:hAnsi="Arial" w:cs="Arial"/>
          <w:sz w:val="24"/>
          <w:szCs w:val="24"/>
        </w:rPr>
        <w:t>.</w:t>
      </w:r>
      <w:r w:rsidR="002D0726" w:rsidRPr="00015711">
        <w:rPr>
          <w:rFonts w:ascii="Arial" w:hAnsi="Arial" w:cs="Arial"/>
          <w:sz w:val="24"/>
          <w:szCs w:val="24"/>
        </w:rPr>
        <w:t xml:space="preserve"> </w:t>
      </w:r>
      <w:r w:rsidR="00E761D9" w:rsidRPr="00015711">
        <w:rPr>
          <w:rFonts w:ascii="Arial" w:hAnsi="Arial" w:cs="Arial"/>
          <w:sz w:val="24"/>
          <w:szCs w:val="24"/>
        </w:rPr>
        <w:t>Per quanto riguarda i fattori ambientali, si devono fornire informazioni con riferimento a: mitigazione dei cambiamenti climatici</w:t>
      </w:r>
      <w:r w:rsidR="00C87D51" w:rsidRPr="00015711">
        <w:rPr>
          <w:rFonts w:ascii="Arial" w:hAnsi="Arial" w:cs="Arial"/>
          <w:sz w:val="24"/>
          <w:szCs w:val="24"/>
        </w:rPr>
        <w:t xml:space="preserve"> (comprese le emissioni </w:t>
      </w:r>
      <w:r w:rsidR="009654FC" w:rsidRPr="00015711">
        <w:rPr>
          <w:rFonts w:ascii="Arial" w:hAnsi="Arial" w:cs="Arial"/>
          <w:sz w:val="24"/>
          <w:szCs w:val="24"/>
        </w:rPr>
        <w:t>di scope</w:t>
      </w:r>
      <w:r w:rsidR="00516A5F" w:rsidRPr="00015711">
        <w:rPr>
          <w:rFonts w:ascii="Arial" w:hAnsi="Arial" w:cs="Arial"/>
          <w:sz w:val="24"/>
          <w:szCs w:val="24"/>
        </w:rPr>
        <w:t xml:space="preserve"> 1, scope 2 e scope 3</w:t>
      </w:r>
      <w:r w:rsidR="00C401DD" w:rsidRPr="00015711">
        <w:rPr>
          <w:rFonts w:ascii="Arial" w:hAnsi="Arial" w:cs="Arial"/>
          <w:sz w:val="24"/>
          <w:szCs w:val="24"/>
        </w:rPr>
        <w:t>, se del caso)</w:t>
      </w:r>
      <w:r w:rsidR="00E761D9" w:rsidRPr="00015711">
        <w:rPr>
          <w:rFonts w:ascii="Arial" w:hAnsi="Arial" w:cs="Arial"/>
          <w:sz w:val="24"/>
          <w:szCs w:val="24"/>
        </w:rPr>
        <w:t>; adattamento ai cambiamenti; risorse idriche; uso delle risorse ed economia circolare; inquinamento; biodiversità</w:t>
      </w:r>
      <w:r w:rsidR="00C401DD" w:rsidRPr="00015711">
        <w:rPr>
          <w:rFonts w:ascii="Arial" w:hAnsi="Arial" w:cs="Arial"/>
          <w:sz w:val="24"/>
          <w:szCs w:val="24"/>
        </w:rPr>
        <w:t xml:space="preserve"> ed ecosistemi</w:t>
      </w:r>
      <w:r w:rsidR="00FE7761" w:rsidRPr="00015711">
        <w:rPr>
          <w:rFonts w:ascii="Arial" w:hAnsi="Arial" w:cs="Arial"/>
          <w:sz w:val="24"/>
          <w:szCs w:val="24"/>
        </w:rPr>
        <w:t>.</w:t>
      </w:r>
      <w:r w:rsidR="00C030BD" w:rsidRPr="00015711">
        <w:rPr>
          <w:rFonts w:ascii="Arial" w:hAnsi="Arial" w:cs="Arial"/>
          <w:sz w:val="24"/>
          <w:szCs w:val="24"/>
        </w:rPr>
        <w:t xml:space="preserve"> </w:t>
      </w:r>
      <w:r w:rsidR="00E761D9" w:rsidRPr="00015711">
        <w:rPr>
          <w:rFonts w:ascii="Arial" w:hAnsi="Arial" w:cs="Arial"/>
          <w:sz w:val="24"/>
          <w:szCs w:val="24"/>
        </w:rPr>
        <w:t>Per quanto riguarda i fattori sociali</w:t>
      </w:r>
      <w:r w:rsidR="00A35056" w:rsidRPr="00015711">
        <w:rPr>
          <w:rFonts w:ascii="Arial" w:hAnsi="Arial" w:cs="Arial"/>
          <w:sz w:val="24"/>
          <w:szCs w:val="24"/>
        </w:rPr>
        <w:t xml:space="preserve"> e dei diritti umani</w:t>
      </w:r>
      <w:r w:rsidR="00E761D9" w:rsidRPr="00015711">
        <w:rPr>
          <w:rFonts w:ascii="Arial" w:hAnsi="Arial" w:cs="Arial"/>
          <w:sz w:val="24"/>
          <w:szCs w:val="24"/>
        </w:rPr>
        <w:t>, si devono fornire informazioni con riferimento a: pari</w:t>
      </w:r>
      <w:r w:rsidR="003F5756" w:rsidRPr="00015711">
        <w:rPr>
          <w:rFonts w:ascii="Arial" w:hAnsi="Arial" w:cs="Arial"/>
          <w:sz w:val="24"/>
          <w:szCs w:val="24"/>
        </w:rPr>
        <w:t>tà di trattamento e pari</w:t>
      </w:r>
      <w:r w:rsidR="00E761D9" w:rsidRPr="00015711">
        <w:rPr>
          <w:rFonts w:ascii="Arial" w:hAnsi="Arial" w:cs="Arial"/>
          <w:sz w:val="24"/>
          <w:szCs w:val="24"/>
        </w:rPr>
        <w:t xml:space="preserve"> opportunità, condizioni di lavoro; rispetto dei diritti umani</w:t>
      </w:r>
      <w:r w:rsidR="00067316" w:rsidRPr="00015711">
        <w:rPr>
          <w:rFonts w:ascii="Arial" w:hAnsi="Arial" w:cs="Arial"/>
          <w:sz w:val="24"/>
          <w:szCs w:val="24"/>
        </w:rPr>
        <w:t xml:space="preserve">. </w:t>
      </w:r>
      <w:r w:rsidR="00E761D9" w:rsidRPr="00015711">
        <w:rPr>
          <w:rFonts w:ascii="Arial" w:hAnsi="Arial" w:cs="Arial"/>
          <w:sz w:val="24"/>
          <w:szCs w:val="24"/>
        </w:rPr>
        <w:t>Per quanto riguarda i fattori di governance, si devono fornire informazioni con riferimento a: ruolo</w:t>
      </w:r>
      <w:r w:rsidR="00BA57D1" w:rsidRPr="00015711">
        <w:rPr>
          <w:rFonts w:ascii="Arial" w:hAnsi="Arial" w:cs="Arial"/>
          <w:sz w:val="24"/>
          <w:szCs w:val="24"/>
        </w:rPr>
        <w:t>,</w:t>
      </w:r>
      <w:r w:rsidR="00E761D9" w:rsidRPr="00015711">
        <w:rPr>
          <w:rFonts w:ascii="Arial" w:hAnsi="Arial" w:cs="Arial"/>
          <w:sz w:val="24"/>
          <w:szCs w:val="24"/>
        </w:rPr>
        <w:t xml:space="preserve"> composizione </w:t>
      </w:r>
      <w:r w:rsidR="005C16F3" w:rsidRPr="00015711">
        <w:rPr>
          <w:rFonts w:ascii="Arial" w:hAnsi="Arial" w:cs="Arial"/>
          <w:sz w:val="24"/>
          <w:szCs w:val="24"/>
        </w:rPr>
        <w:t xml:space="preserve">e competenze </w:t>
      </w:r>
      <w:r w:rsidR="00E761D9" w:rsidRPr="00015711">
        <w:rPr>
          <w:rFonts w:ascii="Arial" w:hAnsi="Arial" w:cs="Arial"/>
          <w:sz w:val="24"/>
          <w:szCs w:val="24"/>
        </w:rPr>
        <w:t xml:space="preserve">degli organi di amministrazione, gestione e controllo, con riferimento alla sostenibilità; </w:t>
      </w:r>
      <w:r w:rsidR="00616EB4" w:rsidRPr="00015711">
        <w:rPr>
          <w:rFonts w:ascii="Arial" w:hAnsi="Arial" w:cs="Arial"/>
          <w:sz w:val="24"/>
          <w:szCs w:val="24"/>
        </w:rPr>
        <w:t xml:space="preserve">principali caratteristiche dei sistemi di controllo interno e </w:t>
      </w:r>
      <w:r w:rsidR="00294A8A" w:rsidRPr="00015711">
        <w:rPr>
          <w:rFonts w:ascii="Arial" w:hAnsi="Arial" w:cs="Arial"/>
          <w:sz w:val="24"/>
          <w:szCs w:val="24"/>
        </w:rPr>
        <w:t>gestione</w:t>
      </w:r>
      <w:r w:rsidR="00616EB4" w:rsidRPr="00015711">
        <w:rPr>
          <w:rFonts w:ascii="Arial" w:hAnsi="Arial" w:cs="Arial"/>
          <w:sz w:val="24"/>
          <w:szCs w:val="24"/>
        </w:rPr>
        <w:t xml:space="preserve"> dei rischi</w:t>
      </w:r>
      <w:r w:rsidR="00DD33DE" w:rsidRPr="00015711">
        <w:rPr>
          <w:rFonts w:ascii="Arial" w:hAnsi="Arial" w:cs="Arial"/>
          <w:sz w:val="24"/>
          <w:szCs w:val="24"/>
        </w:rPr>
        <w:t xml:space="preserve"> </w:t>
      </w:r>
      <w:r w:rsidR="00C71110" w:rsidRPr="00015711">
        <w:rPr>
          <w:rFonts w:ascii="Arial" w:hAnsi="Arial" w:cs="Arial"/>
          <w:sz w:val="24"/>
          <w:szCs w:val="24"/>
        </w:rPr>
        <w:t>con riferimento alla rendicontazione di sostenibilità</w:t>
      </w:r>
      <w:r w:rsidR="00294A8A" w:rsidRPr="00015711">
        <w:rPr>
          <w:rFonts w:ascii="Arial" w:hAnsi="Arial" w:cs="Arial"/>
          <w:sz w:val="24"/>
          <w:szCs w:val="24"/>
        </w:rPr>
        <w:t xml:space="preserve">; </w:t>
      </w:r>
      <w:r w:rsidR="00BF1AC8" w:rsidRPr="00015711">
        <w:rPr>
          <w:rFonts w:ascii="Arial" w:hAnsi="Arial" w:cs="Arial"/>
          <w:sz w:val="24"/>
          <w:szCs w:val="24"/>
        </w:rPr>
        <w:t>etica aziendale</w:t>
      </w:r>
      <w:r w:rsidR="00E761D9" w:rsidRPr="00015711">
        <w:rPr>
          <w:rFonts w:ascii="Arial" w:hAnsi="Arial" w:cs="Arial"/>
          <w:sz w:val="24"/>
          <w:szCs w:val="24"/>
        </w:rPr>
        <w:t xml:space="preserve">; </w:t>
      </w:r>
      <w:r w:rsidR="001F0FEE" w:rsidRPr="00015711">
        <w:rPr>
          <w:rFonts w:ascii="Arial" w:hAnsi="Arial" w:cs="Arial"/>
          <w:sz w:val="24"/>
          <w:szCs w:val="24"/>
        </w:rPr>
        <w:t>esercizio di influenza politica, ivi compresa l</w:t>
      </w:r>
      <w:r w:rsidR="00F64AE7" w:rsidRPr="00015711">
        <w:rPr>
          <w:rFonts w:ascii="Arial" w:hAnsi="Arial" w:cs="Arial"/>
          <w:sz w:val="24"/>
          <w:szCs w:val="24"/>
        </w:rPr>
        <w:t>’attività di</w:t>
      </w:r>
      <w:r w:rsidR="001F0FEE" w:rsidRPr="00015711">
        <w:rPr>
          <w:rFonts w:ascii="Arial" w:hAnsi="Arial" w:cs="Arial"/>
          <w:sz w:val="24"/>
          <w:szCs w:val="24"/>
        </w:rPr>
        <w:t xml:space="preserve"> </w:t>
      </w:r>
      <w:r w:rsidR="00E761D9" w:rsidRPr="00015711">
        <w:rPr>
          <w:rFonts w:ascii="Arial" w:hAnsi="Arial" w:cs="Arial"/>
          <w:sz w:val="24"/>
          <w:szCs w:val="24"/>
        </w:rPr>
        <w:t xml:space="preserve">lobbying; rapporti con </w:t>
      </w:r>
      <w:r w:rsidR="00E936A2" w:rsidRPr="00015711">
        <w:rPr>
          <w:rFonts w:ascii="Arial" w:hAnsi="Arial" w:cs="Arial"/>
          <w:sz w:val="24"/>
          <w:szCs w:val="24"/>
        </w:rPr>
        <w:t>clienti, fornitori e comunit</w:t>
      </w:r>
      <w:r w:rsidR="005C1905" w:rsidRPr="00015711">
        <w:rPr>
          <w:rFonts w:ascii="Arial" w:hAnsi="Arial" w:cs="Arial"/>
          <w:sz w:val="24"/>
          <w:szCs w:val="24"/>
        </w:rPr>
        <w:t>à, comprese le pratiche di pagamento</w:t>
      </w:r>
      <w:r w:rsidR="00702DA5" w:rsidRPr="00015711">
        <w:rPr>
          <w:rFonts w:ascii="Arial" w:hAnsi="Arial" w:cs="Arial"/>
          <w:sz w:val="24"/>
          <w:szCs w:val="24"/>
        </w:rPr>
        <w:t>.</w:t>
      </w:r>
      <w:r w:rsidR="00847404" w:rsidRPr="00015711">
        <w:rPr>
          <w:rFonts w:ascii="Arial" w:hAnsi="Arial" w:cs="Arial"/>
          <w:color w:val="FF0000"/>
          <w:sz w:val="24"/>
          <w:szCs w:val="24"/>
        </w:rPr>
        <w:t xml:space="preserve"> </w:t>
      </w:r>
    </w:p>
    <w:p w14:paraId="1BF8BE61" w14:textId="5AA21712" w:rsidR="00721F91" w:rsidRPr="00015711" w:rsidRDefault="00983317" w:rsidP="00067316">
      <w:pPr>
        <w:tabs>
          <w:tab w:val="num" w:pos="720"/>
        </w:tabs>
        <w:jc w:val="both"/>
        <w:rPr>
          <w:rFonts w:ascii="Arial" w:hAnsi="Arial" w:cs="Arial"/>
          <w:sz w:val="24"/>
          <w:szCs w:val="24"/>
        </w:rPr>
      </w:pPr>
      <w:r w:rsidRPr="00015711">
        <w:rPr>
          <w:rFonts w:ascii="Arial" w:hAnsi="Arial" w:cs="Arial"/>
          <w:sz w:val="24"/>
          <w:szCs w:val="24"/>
        </w:rPr>
        <w:t xml:space="preserve">Con riferimento a questo ultimo set di </w:t>
      </w:r>
      <w:r w:rsidR="00853859" w:rsidRPr="00015711">
        <w:rPr>
          <w:rFonts w:ascii="Arial" w:hAnsi="Arial" w:cs="Arial"/>
          <w:sz w:val="24"/>
          <w:szCs w:val="24"/>
        </w:rPr>
        <w:t>standard</w:t>
      </w:r>
      <w:r w:rsidR="007C3AFA" w:rsidRPr="00015711">
        <w:rPr>
          <w:rFonts w:ascii="Arial" w:hAnsi="Arial" w:cs="Arial"/>
          <w:sz w:val="24"/>
          <w:szCs w:val="24"/>
        </w:rPr>
        <w:t xml:space="preserve">, si osserva come il testo finale della direttiva delimiti nettamente </w:t>
      </w:r>
      <w:r w:rsidR="0094236E" w:rsidRPr="00015711">
        <w:rPr>
          <w:rFonts w:ascii="Arial" w:hAnsi="Arial" w:cs="Arial"/>
          <w:sz w:val="24"/>
          <w:szCs w:val="24"/>
        </w:rPr>
        <w:t>le informazioni richies</w:t>
      </w:r>
      <w:r w:rsidR="00853859" w:rsidRPr="00015711">
        <w:rPr>
          <w:rFonts w:ascii="Arial" w:hAnsi="Arial" w:cs="Arial"/>
          <w:sz w:val="24"/>
          <w:szCs w:val="24"/>
        </w:rPr>
        <w:t>t</w:t>
      </w:r>
      <w:r w:rsidR="0094236E" w:rsidRPr="00015711">
        <w:rPr>
          <w:rFonts w:ascii="Arial" w:hAnsi="Arial" w:cs="Arial"/>
          <w:sz w:val="24"/>
          <w:szCs w:val="24"/>
        </w:rPr>
        <w:t xml:space="preserve">e </w:t>
      </w:r>
      <w:r w:rsidR="00853859" w:rsidRPr="00015711">
        <w:rPr>
          <w:rFonts w:ascii="Arial" w:hAnsi="Arial" w:cs="Arial"/>
          <w:sz w:val="24"/>
          <w:szCs w:val="24"/>
        </w:rPr>
        <w:t xml:space="preserve">alla </w:t>
      </w:r>
      <w:r w:rsidR="0094236E" w:rsidRPr="00015711">
        <w:rPr>
          <w:rFonts w:ascii="Arial" w:hAnsi="Arial" w:cs="Arial"/>
          <w:sz w:val="24"/>
          <w:szCs w:val="24"/>
        </w:rPr>
        <w:t xml:space="preserve">governance </w:t>
      </w:r>
      <w:r w:rsidR="00853859" w:rsidRPr="00015711">
        <w:rPr>
          <w:rFonts w:ascii="Arial" w:hAnsi="Arial" w:cs="Arial"/>
          <w:sz w:val="24"/>
          <w:szCs w:val="24"/>
        </w:rPr>
        <w:t>relativa all</w:t>
      </w:r>
      <w:r w:rsidR="00C63DF4" w:rsidRPr="00015711">
        <w:rPr>
          <w:rFonts w:ascii="Arial" w:hAnsi="Arial" w:cs="Arial"/>
          <w:sz w:val="24"/>
          <w:szCs w:val="24"/>
        </w:rPr>
        <w:t>a</w:t>
      </w:r>
      <w:r w:rsidR="00853859" w:rsidRPr="00015711">
        <w:rPr>
          <w:rFonts w:ascii="Arial" w:hAnsi="Arial" w:cs="Arial"/>
          <w:sz w:val="24"/>
          <w:szCs w:val="24"/>
        </w:rPr>
        <w:t xml:space="preserve"> sostenibilità</w:t>
      </w:r>
      <w:r w:rsidR="00713A42" w:rsidRPr="00015711">
        <w:rPr>
          <w:rFonts w:ascii="Arial" w:hAnsi="Arial" w:cs="Arial"/>
          <w:sz w:val="24"/>
          <w:szCs w:val="24"/>
        </w:rPr>
        <w:t>. Ciò implica una profonda revisione degli standard EFRAG in consultazione</w:t>
      </w:r>
      <w:r w:rsidR="00CF3F6E" w:rsidRPr="00015711">
        <w:rPr>
          <w:rFonts w:ascii="Arial" w:hAnsi="Arial" w:cs="Arial"/>
          <w:sz w:val="24"/>
          <w:szCs w:val="24"/>
        </w:rPr>
        <w:t xml:space="preserve">, anche </w:t>
      </w:r>
      <w:r w:rsidR="00CE0A35" w:rsidRPr="00015711">
        <w:rPr>
          <w:rFonts w:ascii="Arial" w:hAnsi="Arial" w:cs="Arial"/>
          <w:sz w:val="24"/>
          <w:szCs w:val="24"/>
        </w:rPr>
        <w:t>per evitare che essi finiscano per imporre ob</w:t>
      </w:r>
      <w:r w:rsidR="00040F18" w:rsidRPr="00015711">
        <w:rPr>
          <w:rFonts w:ascii="Arial" w:hAnsi="Arial" w:cs="Arial"/>
          <w:sz w:val="24"/>
          <w:szCs w:val="24"/>
        </w:rPr>
        <w:t>b</w:t>
      </w:r>
      <w:r w:rsidR="00CE0A35" w:rsidRPr="00015711">
        <w:rPr>
          <w:rFonts w:ascii="Arial" w:hAnsi="Arial" w:cs="Arial"/>
          <w:sz w:val="24"/>
          <w:szCs w:val="24"/>
        </w:rPr>
        <w:t>lighi di go</w:t>
      </w:r>
      <w:r w:rsidR="00040F18" w:rsidRPr="00015711">
        <w:rPr>
          <w:rFonts w:ascii="Arial" w:hAnsi="Arial" w:cs="Arial"/>
          <w:sz w:val="24"/>
          <w:szCs w:val="24"/>
        </w:rPr>
        <w:t>vernance a imprese per le quali le norme non li prevedono</w:t>
      </w:r>
      <w:r w:rsidR="00713A42" w:rsidRPr="00015711">
        <w:rPr>
          <w:rFonts w:ascii="Arial" w:hAnsi="Arial" w:cs="Arial"/>
          <w:sz w:val="24"/>
          <w:szCs w:val="24"/>
        </w:rPr>
        <w:t>.</w:t>
      </w:r>
      <w:r w:rsidR="00C63DF4" w:rsidRPr="00015711">
        <w:rPr>
          <w:rFonts w:ascii="Arial" w:hAnsi="Arial" w:cs="Arial"/>
          <w:sz w:val="24"/>
          <w:szCs w:val="24"/>
        </w:rPr>
        <w:t xml:space="preserve"> </w:t>
      </w:r>
    </w:p>
    <w:p w14:paraId="056DDDC2" w14:textId="77777777" w:rsidR="00071370" w:rsidRPr="00015711" w:rsidRDefault="006777EF" w:rsidP="00DA04DC">
      <w:pPr>
        <w:tabs>
          <w:tab w:val="num" w:pos="720"/>
        </w:tabs>
        <w:jc w:val="both"/>
        <w:rPr>
          <w:rFonts w:ascii="Arial" w:hAnsi="Arial" w:cs="Arial"/>
          <w:sz w:val="24"/>
          <w:szCs w:val="24"/>
        </w:rPr>
      </w:pPr>
      <w:r w:rsidRPr="00015711">
        <w:rPr>
          <w:rFonts w:ascii="Arial" w:hAnsi="Arial" w:cs="Arial"/>
          <w:sz w:val="24"/>
          <w:szCs w:val="24"/>
        </w:rPr>
        <w:lastRenderedPageBreak/>
        <w:t>Se q</w:t>
      </w:r>
      <w:r w:rsidR="00721F91" w:rsidRPr="00015711">
        <w:rPr>
          <w:rFonts w:ascii="Arial" w:hAnsi="Arial" w:cs="Arial"/>
          <w:sz w:val="24"/>
          <w:szCs w:val="24"/>
        </w:rPr>
        <w:t xml:space="preserve">ueste indicazioni </w:t>
      </w:r>
      <w:r w:rsidRPr="00015711">
        <w:rPr>
          <w:rFonts w:ascii="Arial" w:hAnsi="Arial" w:cs="Arial"/>
          <w:sz w:val="24"/>
          <w:szCs w:val="24"/>
        </w:rPr>
        <w:t xml:space="preserve">si limitano ad indicare </w:t>
      </w:r>
      <w:r w:rsidR="005D6AB4" w:rsidRPr="00015711">
        <w:rPr>
          <w:rFonts w:ascii="Arial" w:hAnsi="Arial" w:cs="Arial"/>
          <w:sz w:val="24"/>
          <w:szCs w:val="24"/>
        </w:rPr>
        <w:t>solo i campi tematici</w:t>
      </w:r>
      <w:r w:rsidR="00B24086" w:rsidRPr="00015711">
        <w:rPr>
          <w:rFonts w:ascii="Arial" w:hAnsi="Arial" w:cs="Arial"/>
          <w:sz w:val="24"/>
          <w:szCs w:val="24"/>
        </w:rPr>
        <w:t xml:space="preserve"> da trattare</w:t>
      </w:r>
      <w:r w:rsidR="00DA04DC" w:rsidRPr="00015711">
        <w:rPr>
          <w:rFonts w:ascii="Arial" w:hAnsi="Arial" w:cs="Arial"/>
          <w:sz w:val="24"/>
          <w:szCs w:val="24"/>
        </w:rPr>
        <w:t xml:space="preserve">, la stessa direttiva detta alcune </w:t>
      </w:r>
      <w:r w:rsidR="007D1BE7" w:rsidRPr="00015711">
        <w:rPr>
          <w:rFonts w:ascii="Arial" w:hAnsi="Arial" w:cs="Arial"/>
          <w:sz w:val="24"/>
          <w:szCs w:val="24"/>
        </w:rPr>
        <w:t>indicazion</w:t>
      </w:r>
      <w:r w:rsidR="00DA04DC" w:rsidRPr="00015711">
        <w:rPr>
          <w:rFonts w:ascii="Arial" w:hAnsi="Arial" w:cs="Arial"/>
          <w:sz w:val="24"/>
          <w:szCs w:val="24"/>
        </w:rPr>
        <w:t xml:space="preserve">i generali </w:t>
      </w:r>
      <w:r w:rsidR="00EE4AC6" w:rsidRPr="00015711">
        <w:rPr>
          <w:rFonts w:ascii="Arial" w:hAnsi="Arial" w:cs="Arial"/>
          <w:sz w:val="24"/>
          <w:szCs w:val="24"/>
        </w:rPr>
        <w:t>ch</w:t>
      </w:r>
      <w:r w:rsidR="007D1BE7" w:rsidRPr="00015711">
        <w:rPr>
          <w:rFonts w:ascii="Arial" w:hAnsi="Arial" w:cs="Arial"/>
          <w:sz w:val="24"/>
          <w:szCs w:val="24"/>
        </w:rPr>
        <w:t xml:space="preserve">e </w:t>
      </w:r>
      <w:r w:rsidR="00EE4AC6" w:rsidRPr="00015711">
        <w:rPr>
          <w:rFonts w:ascii="Arial" w:hAnsi="Arial" w:cs="Arial"/>
          <w:sz w:val="24"/>
          <w:szCs w:val="24"/>
        </w:rPr>
        <w:t xml:space="preserve">gli standard devono rispettare e </w:t>
      </w:r>
      <w:r w:rsidR="00071370" w:rsidRPr="00015711">
        <w:rPr>
          <w:rFonts w:ascii="Arial" w:hAnsi="Arial" w:cs="Arial"/>
          <w:sz w:val="24"/>
          <w:szCs w:val="24"/>
        </w:rPr>
        <w:t xml:space="preserve">sono </w:t>
      </w:r>
      <w:r w:rsidR="007D1BE7" w:rsidRPr="00015711">
        <w:rPr>
          <w:rFonts w:ascii="Arial" w:hAnsi="Arial" w:cs="Arial"/>
          <w:sz w:val="24"/>
          <w:szCs w:val="24"/>
        </w:rPr>
        <w:t xml:space="preserve">idonee a </w:t>
      </w:r>
      <w:r w:rsidR="004B3FFC" w:rsidRPr="00015711">
        <w:rPr>
          <w:rFonts w:ascii="Arial" w:hAnsi="Arial" w:cs="Arial"/>
          <w:sz w:val="24"/>
          <w:szCs w:val="24"/>
        </w:rPr>
        <w:t>indir</w:t>
      </w:r>
      <w:r w:rsidR="0089300B" w:rsidRPr="00015711">
        <w:rPr>
          <w:rFonts w:ascii="Arial" w:hAnsi="Arial" w:cs="Arial"/>
          <w:sz w:val="24"/>
          <w:szCs w:val="24"/>
        </w:rPr>
        <w:t xml:space="preserve">izzarne </w:t>
      </w:r>
      <w:r w:rsidR="009960C1" w:rsidRPr="00015711">
        <w:rPr>
          <w:rFonts w:ascii="Arial" w:hAnsi="Arial" w:cs="Arial"/>
          <w:sz w:val="24"/>
          <w:szCs w:val="24"/>
        </w:rPr>
        <w:t>il contenuto</w:t>
      </w:r>
      <w:r w:rsidR="00071370" w:rsidRPr="00015711">
        <w:rPr>
          <w:rFonts w:ascii="Arial" w:hAnsi="Arial" w:cs="Arial"/>
          <w:sz w:val="24"/>
          <w:szCs w:val="24"/>
        </w:rPr>
        <w:t>.</w:t>
      </w:r>
    </w:p>
    <w:p w14:paraId="3B3C01EB" w14:textId="65180DB1" w:rsidR="008137BA" w:rsidRPr="00015711" w:rsidRDefault="00071370" w:rsidP="00BC2903">
      <w:pPr>
        <w:tabs>
          <w:tab w:val="num" w:pos="720"/>
        </w:tabs>
        <w:jc w:val="both"/>
        <w:rPr>
          <w:rFonts w:ascii="Arial" w:hAnsi="Arial" w:cs="Arial"/>
          <w:sz w:val="24"/>
          <w:szCs w:val="24"/>
        </w:rPr>
      </w:pPr>
      <w:r w:rsidRPr="00015711">
        <w:rPr>
          <w:rFonts w:ascii="Arial" w:hAnsi="Arial" w:cs="Arial"/>
          <w:sz w:val="24"/>
          <w:szCs w:val="24"/>
        </w:rPr>
        <w:t>G</w:t>
      </w:r>
      <w:r w:rsidR="0089300B" w:rsidRPr="00015711">
        <w:rPr>
          <w:rFonts w:ascii="Arial" w:hAnsi="Arial" w:cs="Arial"/>
          <w:sz w:val="24"/>
          <w:szCs w:val="24"/>
        </w:rPr>
        <w:t>li standard devono garantire qualità e pertinenza delle info</w:t>
      </w:r>
      <w:r w:rsidR="00953D05" w:rsidRPr="00015711">
        <w:rPr>
          <w:rFonts w:ascii="Arial" w:hAnsi="Arial" w:cs="Arial"/>
          <w:sz w:val="24"/>
          <w:szCs w:val="24"/>
        </w:rPr>
        <w:t>rma</w:t>
      </w:r>
      <w:r w:rsidR="0089300B" w:rsidRPr="00015711">
        <w:rPr>
          <w:rFonts w:ascii="Arial" w:hAnsi="Arial" w:cs="Arial"/>
          <w:sz w:val="24"/>
          <w:szCs w:val="24"/>
        </w:rPr>
        <w:t xml:space="preserve">zioni, </w:t>
      </w:r>
      <w:r w:rsidR="00953D05" w:rsidRPr="00015711">
        <w:rPr>
          <w:rFonts w:ascii="Arial" w:hAnsi="Arial" w:cs="Arial"/>
          <w:sz w:val="24"/>
          <w:szCs w:val="24"/>
        </w:rPr>
        <w:t xml:space="preserve">richiedendo che esse siano </w:t>
      </w:r>
      <w:r w:rsidR="008C1243" w:rsidRPr="00015711">
        <w:rPr>
          <w:rFonts w:ascii="Arial" w:hAnsi="Arial" w:cs="Arial"/>
          <w:sz w:val="24"/>
          <w:szCs w:val="24"/>
        </w:rPr>
        <w:t>comprensibili, pertinen</w:t>
      </w:r>
      <w:r w:rsidR="007638A7" w:rsidRPr="00015711">
        <w:rPr>
          <w:rFonts w:ascii="Arial" w:hAnsi="Arial" w:cs="Arial"/>
          <w:sz w:val="24"/>
          <w:szCs w:val="24"/>
        </w:rPr>
        <w:t>ti</w:t>
      </w:r>
      <w:r w:rsidR="008C1243" w:rsidRPr="00015711">
        <w:rPr>
          <w:rFonts w:ascii="Arial" w:hAnsi="Arial" w:cs="Arial"/>
          <w:sz w:val="24"/>
          <w:szCs w:val="24"/>
        </w:rPr>
        <w:t xml:space="preserve">, </w:t>
      </w:r>
      <w:r w:rsidR="007638A7" w:rsidRPr="00015711">
        <w:rPr>
          <w:rFonts w:ascii="Arial" w:hAnsi="Arial" w:cs="Arial"/>
          <w:sz w:val="24"/>
          <w:szCs w:val="24"/>
        </w:rPr>
        <w:t xml:space="preserve">verificabili, </w:t>
      </w:r>
      <w:r w:rsidR="00D32026" w:rsidRPr="00015711">
        <w:rPr>
          <w:rFonts w:ascii="Arial" w:hAnsi="Arial" w:cs="Arial"/>
          <w:sz w:val="24"/>
          <w:szCs w:val="24"/>
        </w:rPr>
        <w:t xml:space="preserve">comparabili, che rappresentino fedelmente </w:t>
      </w:r>
      <w:r w:rsidR="000239CF" w:rsidRPr="00015711">
        <w:rPr>
          <w:rFonts w:ascii="Arial" w:hAnsi="Arial" w:cs="Arial"/>
          <w:sz w:val="24"/>
          <w:szCs w:val="24"/>
        </w:rPr>
        <w:t>la situazione dell’impresa</w:t>
      </w:r>
      <w:r w:rsidR="00E62ACA" w:rsidRPr="00015711">
        <w:rPr>
          <w:rFonts w:ascii="Arial" w:hAnsi="Arial" w:cs="Arial"/>
          <w:sz w:val="24"/>
          <w:szCs w:val="24"/>
        </w:rPr>
        <w:t xml:space="preserve">. Gli standard devono </w:t>
      </w:r>
      <w:r w:rsidR="00D32026" w:rsidRPr="00015711">
        <w:rPr>
          <w:rFonts w:ascii="Arial" w:hAnsi="Arial" w:cs="Arial"/>
          <w:sz w:val="24"/>
          <w:szCs w:val="24"/>
        </w:rPr>
        <w:t>evit</w:t>
      </w:r>
      <w:r w:rsidR="00E62ACA" w:rsidRPr="00015711">
        <w:rPr>
          <w:rFonts w:ascii="Arial" w:hAnsi="Arial" w:cs="Arial"/>
          <w:sz w:val="24"/>
          <w:szCs w:val="24"/>
        </w:rPr>
        <w:t xml:space="preserve">are </w:t>
      </w:r>
      <w:r w:rsidR="00F14110" w:rsidRPr="00015711">
        <w:rPr>
          <w:rFonts w:ascii="Arial" w:hAnsi="Arial" w:cs="Arial"/>
          <w:sz w:val="24"/>
          <w:szCs w:val="24"/>
        </w:rPr>
        <w:t>oneri sproporzionati</w:t>
      </w:r>
      <w:r w:rsidR="00BC2903" w:rsidRPr="00015711">
        <w:rPr>
          <w:rFonts w:ascii="Arial" w:hAnsi="Arial" w:cs="Arial"/>
          <w:sz w:val="24"/>
          <w:szCs w:val="24"/>
        </w:rPr>
        <w:t xml:space="preserve"> per le imprese, </w:t>
      </w:r>
      <w:r w:rsidR="008137BA" w:rsidRPr="00015711">
        <w:rPr>
          <w:rFonts w:ascii="Arial" w:hAnsi="Arial" w:cs="Arial"/>
          <w:sz w:val="24"/>
          <w:szCs w:val="24"/>
        </w:rPr>
        <w:t>ten</w:t>
      </w:r>
      <w:r w:rsidR="00C64F4D" w:rsidRPr="00015711">
        <w:rPr>
          <w:rFonts w:ascii="Arial" w:hAnsi="Arial" w:cs="Arial"/>
          <w:sz w:val="24"/>
          <w:szCs w:val="24"/>
        </w:rPr>
        <w:t>en</w:t>
      </w:r>
      <w:r w:rsidR="008137BA" w:rsidRPr="00015711">
        <w:rPr>
          <w:rFonts w:ascii="Arial" w:hAnsi="Arial" w:cs="Arial"/>
          <w:sz w:val="24"/>
          <w:szCs w:val="24"/>
        </w:rPr>
        <w:t>do conto, nel modo più ampio possibile, delle iniziative globali</w:t>
      </w:r>
      <w:r w:rsidR="00234F57" w:rsidRPr="00015711">
        <w:rPr>
          <w:rFonts w:ascii="Arial" w:hAnsi="Arial" w:cs="Arial"/>
          <w:sz w:val="24"/>
          <w:szCs w:val="24"/>
        </w:rPr>
        <w:t xml:space="preserve"> di definizione degli standard</w:t>
      </w:r>
      <w:r w:rsidR="00052E74" w:rsidRPr="00015711">
        <w:rPr>
          <w:rFonts w:ascii="Arial" w:hAnsi="Arial" w:cs="Arial"/>
          <w:sz w:val="24"/>
          <w:szCs w:val="24"/>
        </w:rPr>
        <w:t xml:space="preserve"> medesimi</w:t>
      </w:r>
      <w:r w:rsidR="00234F57" w:rsidRPr="00015711">
        <w:rPr>
          <w:rFonts w:ascii="Arial" w:hAnsi="Arial" w:cs="Arial"/>
          <w:sz w:val="24"/>
          <w:szCs w:val="24"/>
        </w:rPr>
        <w:t>.</w:t>
      </w:r>
    </w:p>
    <w:p w14:paraId="082273FC" w14:textId="0B63ACBD" w:rsidR="008137BA" w:rsidRPr="00015711" w:rsidRDefault="00F66697" w:rsidP="00C64F4D">
      <w:pPr>
        <w:jc w:val="both"/>
        <w:rPr>
          <w:rFonts w:ascii="Arial" w:hAnsi="Arial" w:cs="Arial"/>
          <w:sz w:val="24"/>
          <w:szCs w:val="24"/>
        </w:rPr>
      </w:pPr>
      <w:r w:rsidRPr="00015711">
        <w:rPr>
          <w:rFonts w:ascii="Arial" w:hAnsi="Arial" w:cs="Arial"/>
          <w:sz w:val="24"/>
          <w:szCs w:val="24"/>
        </w:rPr>
        <w:t xml:space="preserve">Essi </w:t>
      </w:r>
      <w:r w:rsidR="008137BA" w:rsidRPr="00015711">
        <w:rPr>
          <w:rFonts w:ascii="Arial" w:hAnsi="Arial" w:cs="Arial"/>
          <w:sz w:val="24"/>
          <w:szCs w:val="24"/>
        </w:rPr>
        <w:t>specificano le informazioni, prospettiche e retrospettive</w:t>
      </w:r>
      <w:r w:rsidR="00E55F9B" w:rsidRPr="00015711">
        <w:rPr>
          <w:rFonts w:ascii="Arial" w:hAnsi="Arial" w:cs="Arial"/>
          <w:sz w:val="24"/>
          <w:szCs w:val="24"/>
        </w:rPr>
        <w:t>,</w:t>
      </w:r>
      <w:r w:rsidR="008137BA" w:rsidRPr="00015711">
        <w:rPr>
          <w:rFonts w:ascii="Arial" w:hAnsi="Arial" w:cs="Arial"/>
          <w:sz w:val="24"/>
          <w:szCs w:val="24"/>
        </w:rPr>
        <w:t xml:space="preserve"> quantitative e qualitative </w:t>
      </w:r>
      <w:r w:rsidR="00E55F9B" w:rsidRPr="00015711">
        <w:rPr>
          <w:rFonts w:ascii="Arial" w:hAnsi="Arial" w:cs="Arial"/>
          <w:sz w:val="24"/>
          <w:szCs w:val="24"/>
        </w:rPr>
        <w:t xml:space="preserve">che le imprese devono </w:t>
      </w:r>
      <w:r w:rsidR="008137BA" w:rsidRPr="00015711">
        <w:rPr>
          <w:rFonts w:ascii="Arial" w:hAnsi="Arial" w:cs="Arial"/>
          <w:sz w:val="24"/>
          <w:szCs w:val="24"/>
        </w:rPr>
        <w:t>comunicare, a seconda dei casi</w:t>
      </w:r>
      <w:r w:rsidR="00E55F9B" w:rsidRPr="00015711">
        <w:rPr>
          <w:rFonts w:ascii="Arial" w:hAnsi="Arial" w:cs="Arial"/>
          <w:sz w:val="24"/>
          <w:szCs w:val="24"/>
        </w:rPr>
        <w:t>.</w:t>
      </w:r>
    </w:p>
    <w:p w14:paraId="77974075" w14:textId="28F53F65" w:rsidR="008C1243" w:rsidRPr="00015711" w:rsidRDefault="00E55F9B" w:rsidP="00C64F4D">
      <w:pPr>
        <w:jc w:val="both"/>
        <w:rPr>
          <w:rFonts w:ascii="Arial" w:hAnsi="Arial" w:cs="Arial"/>
          <w:sz w:val="24"/>
          <w:szCs w:val="24"/>
        </w:rPr>
      </w:pPr>
      <w:r w:rsidRPr="00015711">
        <w:rPr>
          <w:rFonts w:ascii="Arial" w:hAnsi="Arial" w:cs="Arial"/>
          <w:sz w:val="24"/>
          <w:szCs w:val="24"/>
        </w:rPr>
        <w:t>G</w:t>
      </w:r>
      <w:r w:rsidR="008137BA" w:rsidRPr="00015711">
        <w:rPr>
          <w:rFonts w:ascii="Arial" w:hAnsi="Arial" w:cs="Arial"/>
          <w:sz w:val="24"/>
          <w:szCs w:val="24"/>
        </w:rPr>
        <w:t>li standard</w:t>
      </w:r>
      <w:r w:rsidR="00052E74" w:rsidRPr="00015711">
        <w:rPr>
          <w:rFonts w:ascii="Arial" w:hAnsi="Arial" w:cs="Arial"/>
          <w:sz w:val="24"/>
          <w:szCs w:val="24"/>
        </w:rPr>
        <w:t>,</w:t>
      </w:r>
      <w:r w:rsidR="008137BA" w:rsidRPr="00015711">
        <w:rPr>
          <w:rFonts w:ascii="Arial" w:hAnsi="Arial" w:cs="Arial"/>
          <w:sz w:val="24"/>
          <w:szCs w:val="24"/>
        </w:rPr>
        <w:t xml:space="preserve"> </w:t>
      </w:r>
      <w:r w:rsidR="00E7318C" w:rsidRPr="00015711">
        <w:rPr>
          <w:rFonts w:ascii="Arial" w:hAnsi="Arial" w:cs="Arial"/>
          <w:sz w:val="24"/>
          <w:szCs w:val="24"/>
        </w:rPr>
        <w:t>infine</w:t>
      </w:r>
      <w:r w:rsidR="00052E74" w:rsidRPr="00015711">
        <w:rPr>
          <w:rFonts w:ascii="Arial" w:hAnsi="Arial" w:cs="Arial"/>
          <w:sz w:val="24"/>
          <w:szCs w:val="24"/>
        </w:rPr>
        <w:t>,</w:t>
      </w:r>
      <w:r w:rsidR="00E7318C" w:rsidRPr="00015711">
        <w:rPr>
          <w:rFonts w:ascii="Arial" w:hAnsi="Arial" w:cs="Arial"/>
          <w:sz w:val="24"/>
          <w:szCs w:val="24"/>
        </w:rPr>
        <w:t xml:space="preserve"> </w:t>
      </w:r>
      <w:r w:rsidR="008137BA" w:rsidRPr="00015711">
        <w:rPr>
          <w:rFonts w:ascii="Arial" w:hAnsi="Arial" w:cs="Arial"/>
          <w:sz w:val="24"/>
          <w:szCs w:val="24"/>
        </w:rPr>
        <w:t xml:space="preserve">devono tener conto delle difficoltà di raccogliere le informazioni dagli attori della catena del valore. Le informazioni sulle catene del valore devono essere proporzionate e pertinenti alla scala e </w:t>
      </w:r>
      <w:r w:rsidR="000732BB" w:rsidRPr="00015711">
        <w:rPr>
          <w:rFonts w:ascii="Arial" w:hAnsi="Arial" w:cs="Arial"/>
          <w:sz w:val="24"/>
          <w:szCs w:val="24"/>
        </w:rPr>
        <w:t>alla</w:t>
      </w:r>
      <w:r w:rsidR="008137BA" w:rsidRPr="00015711">
        <w:rPr>
          <w:rFonts w:ascii="Arial" w:hAnsi="Arial" w:cs="Arial"/>
          <w:sz w:val="24"/>
          <w:szCs w:val="24"/>
        </w:rPr>
        <w:t xml:space="preserve"> complessità delle attività nonché </w:t>
      </w:r>
      <w:r w:rsidR="000732BB" w:rsidRPr="00015711">
        <w:rPr>
          <w:rFonts w:ascii="Arial" w:hAnsi="Arial" w:cs="Arial"/>
          <w:sz w:val="24"/>
          <w:szCs w:val="24"/>
        </w:rPr>
        <w:t>alla</w:t>
      </w:r>
      <w:r w:rsidR="008137BA" w:rsidRPr="00015711">
        <w:rPr>
          <w:rFonts w:ascii="Arial" w:hAnsi="Arial" w:cs="Arial"/>
          <w:sz w:val="24"/>
          <w:szCs w:val="24"/>
        </w:rPr>
        <w:t xml:space="preserve"> capacità e alle caratteristiche delle imprese della catena. </w:t>
      </w:r>
    </w:p>
    <w:p w14:paraId="73B8F343" w14:textId="76248367" w:rsidR="008C1243" w:rsidRPr="00015711" w:rsidRDefault="00643D3A" w:rsidP="008C1243">
      <w:pPr>
        <w:jc w:val="both"/>
        <w:rPr>
          <w:rFonts w:ascii="Arial" w:hAnsi="Arial" w:cs="Arial"/>
          <w:sz w:val="24"/>
          <w:szCs w:val="24"/>
        </w:rPr>
      </w:pPr>
      <w:r w:rsidRPr="00015711">
        <w:rPr>
          <w:rFonts w:ascii="Arial" w:hAnsi="Arial" w:cs="Arial"/>
          <w:sz w:val="24"/>
          <w:szCs w:val="24"/>
        </w:rPr>
        <w:t xml:space="preserve">Questi principi </w:t>
      </w:r>
      <w:r w:rsidR="007A0746" w:rsidRPr="00015711">
        <w:rPr>
          <w:rFonts w:ascii="Arial" w:hAnsi="Arial" w:cs="Arial"/>
          <w:sz w:val="24"/>
          <w:szCs w:val="24"/>
        </w:rPr>
        <w:t>costituiscono</w:t>
      </w:r>
      <w:r w:rsidRPr="00015711">
        <w:rPr>
          <w:rFonts w:ascii="Arial" w:hAnsi="Arial" w:cs="Arial"/>
          <w:sz w:val="24"/>
          <w:szCs w:val="24"/>
        </w:rPr>
        <w:t xml:space="preserve"> la base legale </w:t>
      </w:r>
      <w:r w:rsidR="00BE6EC4" w:rsidRPr="00015711">
        <w:rPr>
          <w:rFonts w:ascii="Arial" w:hAnsi="Arial" w:cs="Arial"/>
          <w:sz w:val="24"/>
          <w:szCs w:val="24"/>
        </w:rPr>
        <w:t xml:space="preserve">(e il limite) </w:t>
      </w:r>
      <w:r w:rsidR="007A0746" w:rsidRPr="00015711">
        <w:rPr>
          <w:rFonts w:ascii="Arial" w:hAnsi="Arial" w:cs="Arial"/>
          <w:sz w:val="24"/>
          <w:szCs w:val="24"/>
        </w:rPr>
        <w:t>che deve informare il contenuto degli standard.</w:t>
      </w:r>
    </w:p>
    <w:p w14:paraId="291DD6C6" w14:textId="45EB78F9" w:rsidR="00DA42CB" w:rsidRPr="00015711" w:rsidRDefault="00BE6EC4" w:rsidP="00DA42CB">
      <w:pPr>
        <w:jc w:val="both"/>
        <w:rPr>
          <w:rFonts w:ascii="Arial" w:hAnsi="Arial" w:cs="Arial"/>
          <w:sz w:val="24"/>
          <w:szCs w:val="24"/>
        </w:rPr>
      </w:pPr>
      <w:r w:rsidRPr="00015711">
        <w:rPr>
          <w:rFonts w:ascii="Arial" w:hAnsi="Arial" w:cs="Arial"/>
          <w:sz w:val="24"/>
          <w:szCs w:val="24"/>
        </w:rPr>
        <w:t>Sulla base di quest</w:t>
      </w:r>
      <w:r w:rsidR="004F296D" w:rsidRPr="00015711">
        <w:rPr>
          <w:rFonts w:ascii="Arial" w:hAnsi="Arial" w:cs="Arial"/>
          <w:sz w:val="24"/>
          <w:szCs w:val="24"/>
        </w:rPr>
        <w:t xml:space="preserve">i criteri direttivi, </w:t>
      </w:r>
      <w:r w:rsidR="00483572" w:rsidRPr="00015711">
        <w:rPr>
          <w:rFonts w:ascii="Arial" w:hAnsi="Arial" w:cs="Arial"/>
          <w:sz w:val="24"/>
          <w:szCs w:val="24"/>
        </w:rPr>
        <w:t xml:space="preserve">ad esempio, </w:t>
      </w:r>
      <w:r w:rsidR="004F296D" w:rsidRPr="00015711">
        <w:rPr>
          <w:rFonts w:ascii="Arial" w:hAnsi="Arial" w:cs="Arial"/>
          <w:sz w:val="24"/>
          <w:szCs w:val="24"/>
        </w:rPr>
        <w:t xml:space="preserve">gli standard non dovrebbero richiedere informazioni </w:t>
      </w:r>
      <w:r w:rsidR="00E5416C" w:rsidRPr="00015711">
        <w:rPr>
          <w:rFonts w:ascii="Arial" w:hAnsi="Arial" w:cs="Arial"/>
          <w:sz w:val="24"/>
          <w:szCs w:val="24"/>
        </w:rPr>
        <w:t xml:space="preserve">che non </w:t>
      </w:r>
      <w:r w:rsidR="00483572" w:rsidRPr="00015711">
        <w:rPr>
          <w:rFonts w:ascii="Arial" w:hAnsi="Arial" w:cs="Arial"/>
          <w:sz w:val="24"/>
          <w:szCs w:val="24"/>
        </w:rPr>
        <w:t>garantiscano un’adeguata qualità dell’informazione</w:t>
      </w:r>
      <w:r w:rsidR="00DA42CB" w:rsidRPr="00015711">
        <w:rPr>
          <w:rFonts w:ascii="Arial" w:hAnsi="Arial" w:cs="Arial"/>
          <w:sz w:val="24"/>
          <w:szCs w:val="24"/>
        </w:rPr>
        <w:t xml:space="preserve"> e dovrebbero essere definiti sulla base delle fonti di informazione </w:t>
      </w:r>
      <w:r w:rsidR="00435853" w:rsidRPr="00015711">
        <w:rPr>
          <w:rFonts w:ascii="Arial" w:hAnsi="Arial" w:cs="Arial"/>
          <w:sz w:val="24"/>
          <w:szCs w:val="24"/>
        </w:rPr>
        <w:t>già in essere</w:t>
      </w:r>
      <w:r w:rsidR="00DA42CB" w:rsidRPr="00015711">
        <w:rPr>
          <w:rFonts w:ascii="Arial" w:hAnsi="Arial" w:cs="Arial"/>
          <w:sz w:val="24"/>
          <w:szCs w:val="24"/>
        </w:rPr>
        <w:t xml:space="preserve">. In materia ambientale, ad esempio, le fonti di informazione sono rappresentate, per prassi, dai titoli abilitativi, dalle certificazioni, da metodologie oggettive e sistematiche che valutano l’impronta ambientale dei prodotti (Life </w:t>
      </w:r>
      <w:proofErr w:type="spellStart"/>
      <w:r w:rsidR="00DA42CB" w:rsidRPr="00015711">
        <w:rPr>
          <w:rFonts w:ascii="Arial" w:hAnsi="Arial" w:cs="Arial"/>
          <w:sz w:val="24"/>
          <w:szCs w:val="24"/>
        </w:rPr>
        <w:t>Cycle</w:t>
      </w:r>
      <w:proofErr w:type="spellEnd"/>
      <w:r w:rsidR="00DA42CB" w:rsidRPr="00015711">
        <w:rPr>
          <w:rFonts w:ascii="Arial" w:hAnsi="Arial" w:cs="Arial"/>
          <w:sz w:val="24"/>
          <w:szCs w:val="24"/>
        </w:rPr>
        <w:t> </w:t>
      </w:r>
      <w:proofErr w:type="spellStart"/>
      <w:r w:rsidR="00DA42CB" w:rsidRPr="00015711">
        <w:rPr>
          <w:rFonts w:ascii="Arial" w:hAnsi="Arial" w:cs="Arial"/>
          <w:sz w:val="24"/>
          <w:szCs w:val="24"/>
        </w:rPr>
        <w:t>Assessmen</w:t>
      </w:r>
      <w:proofErr w:type="spellEnd"/>
      <w:r w:rsidR="00DA42CB" w:rsidRPr="00015711">
        <w:rPr>
          <w:rFonts w:ascii="Arial" w:hAnsi="Arial" w:cs="Arial"/>
          <w:sz w:val="24"/>
          <w:szCs w:val="24"/>
        </w:rPr>
        <w:t>), ecc. In questo senso, sarebbe auspicabile tenere in maggiore considerazione questo set informativo già esistente e consolidato nell’elaborazione degli standard definitivi, sia per semplificare il lavoro di rendicontazione delle imprese, sia per evitare una inutile duplicazione di oneri.</w:t>
      </w:r>
    </w:p>
    <w:p w14:paraId="01E4AB12" w14:textId="2B9BE569" w:rsidR="00A73832" w:rsidRPr="00015711" w:rsidRDefault="00B47E31" w:rsidP="008C1243">
      <w:pPr>
        <w:jc w:val="both"/>
        <w:rPr>
          <w:rFonts w:ascii="Arial" w:hAnsi="Arial" w:cs="Arial"/>
          <w:sz w:val="24"/>
          <w:szCs w:val="24"/>
        </w:rPr>
      </w:pPr>
      <w:r w:rsidRPr="00015711">
        <w:rPr>
          <w:rFonts w:ascii="Arial" w:hAnsi="Arial" w:cs="Arial"/>
          <w:sz w:val="24"/>
          <w:szCs w:val="24"/>
        </w:rPr>
        <w:t>N</w:t>
      </w:r>
      <w:r w:rsidR="00662C0B" w:rsidRPr="00015711">
        <w:rPr>
          <w:rFonts w:ascii="Arial" w:hAnsi="Arial" w:cs="Arial"/>
          <w:sz w:val="24"/>
          <w:szCs w:val="24"/>
        </w:rPr>
        <w:t xml:space="preserve">on sembra </w:t>
      </w:r>
      <w:r w:rsidR="00FF6862" w:rsidRPr="00015711">
        <w:rPr>
          <w:rFonts w:ascii="Arial" w:hAnsi="Arial" w:cs="Arial"/>
          <w:sz w:val="24"/>
          <w:szCs w:val="24"/>
        </w:rPr>
        <w:t xml:space="preserve">neppure </w:t>
      </w:r>
      <w:r w:rsidR="00662C0B" w:rsidRPr="00015711">
        <w:rPr>
          <w:rFonts w:ascii="Arial" w:hAnsi="Arial" w:cs="Arial"/>
          <w:sz w:val="24"/>
          <w:szCs w:val="24"/>
        </w:rPr>
        <w:t xml:space="preserve">trovare un’idonea base </w:t>
      </w:r>
      <w:r w:rsidR="00F50CBD" w:rsidRPr="00015711">
        <w:rPr>
          <w:rFonts w:ascii="Arial" w:hAnsi="Arial" w:cs="Arial"/>
          <w:sz w:val="24"/>
          <w:szCs w:val="24"/>
        </w:rPr>
        <w:t xml:space="preserve">legale la richiesta di fornire informazioni </w:t>
      </w:r>
      <w:r w:rsidR="00EB4D3C" w:rsidRPr="00015711">
        <w:rPr>
          <w:rFonts w:ascii="Arial" w:hAnsi="Arial" w:cs="Arial"/>
          <w:sz w:val="24"/>
          <w:szCs w:val="24"/>
        </w:rPr>
        <w:t>all’interno di</w:t>
      </w:r>
      <w:r w:rsidR="00F50CBD" w:rsidRPr="00015711">
        <w:rPr>
          <w:rFonts w:ascii="Arial" w:hAnsi="Arial" w:cs="Arial"/>
          <w:sz w:val="24"/>
          <w:szCs w:val="24"/>
        </w:rPr>
        <w:t xml:space="preserve"> un campo tematico rilevante </w:t>
      </w:r>
      <w:r w:rsidR="00982CEF" w:rsidRPr="00015711">
        <w:rPr>
          <w:rFonts w:ascii="Arial" w:hAnsi="Arial" w:cs="Arial"/>
          <w:sz w:val="24"/>
          <w:szCs w:val="24"/>
        </w:rPr>
        <w:t xml:space="preserve">per la direttiva ma </w:t>
      </w:r>
      <w:r w:rsidR="00F50CBD" w:rsidRPr="00015711">
        <w:rPr>
          <w:rFonts w:ascii="Arial" w:hAnsi="Arial" w:cs="Arial"/>
          <w:sz w:val="24"/>
          <w:szCs w:val="24"/>
        </w:rPr>
        <w:t xml:space="preserve">che </w:t>
      </w:r>
      <w:r w:rsidR="00EB4D3C" w:rsidRPr="00015711">
        <w:rPr>
          <w:rFonts w:ascii="Arial" w:hAnsi="Arial" w:cs="Arial"/>
          <w:sz w:val="24"/>
          <w:szCs w:val="24"/>
        </w:rPr>
        <w:t xml:space="preserve">non si fonda </w:t>
      </w:r>
      <w:r w:rsidR="00A540C4" w:rsidRPr="00015711">
        <w:rPr>
          <w:rFonts w:ascii="Arial" w:hAnsi="Arial" w:cs="Arial"/>
          <w:sz w:val="24"/>
          <w:szCs w:val="24"/>
        </w:rPr>
        <w:t xml:space="preserve">su atti legali europei o framework internazionali </w:t>
      </w:r>
      <w:r w:rsidR="00E868E8" w:rsidRPr="00015711">
        <w:rPr>
          <w:rFonts w:ascii="Arial" w:hAnsi="Arial" w:cs="Arial"/>
          <w:sz w:val="24"/>
          <w:szCs w:val="24"/>
        </w:rPr>
        <w:t xml:space="preserve">o prassi divenute di uso comune </w:t>
      </w:r>
      <w:r w:rsidR="00801CF6" w:rsidRPr="00015711">
        <w:rPr>
          <w:rFonts w:ascii="Arial" w:hAnsi="Arial" w:cs="Arial"/>
          <w:sz w:val="24"/>
          <w:szCs w:val="24"/>
        </w:rPr>
        <w:t xml:space="preserve">ma </w:t>
      </w:r>
      <w:r w:rsidR="005A1B2E" w:rsidRPr="00015711">
        <w:rPr>
          <w:rFonts w:ascii="Arial" w:hAnsi="Arial" w:cs="Arial"/>
          <w:sz w:val="24"/>
          <w:szCs w:val="24"/>
        </w:rPr>
        <w:t xml:space="preserve">deriva dalla richiesta di singoli stakeholder, categorie di </w:t>
      </w:r>
      <w:r w:rsidR="005A1B2E" w:rsidRPr="00015711">
        <w:rPr>
          <w:rFonts w:ascii="Arial" w:hAnsi="Arial" w:cs="Arial"/>
          <w:i/>
          <w:iCs/>
          <w:sz w:val="24"/>
          <w:szCs w:val="24"/>
        </w:rPr>
        <w:t>stakeholder</w:t>
      </w:r>
      <w:r w:rsidR="005A1B2E" w:rsidRPr="00015711">
        <w:rPr>
          <w:rFonts w:ascii="Arial" w:hAnsi="Arial" w:cs="Arial"/>
          <w:sz w:val="24"/>
          <w:szCs w:val="24"/>
        </w:rPr>
        <w:t xml:space="preserve"> o società di rating</w:t>
      </w:r>
      <w:r w:rsidR="00801CF6" w:rsidRPr="00015711">
        <w:rPr>
          <w:rFonts w:ascii="Arial" w:hAnsi="Arial" w:cs="Arial"/>
          <w:sz w:val="24"/>
          <w:szCs w:val="24"/>
        </w:rPr>
        <w:t>.</w:t>
      </w:r>
    </w:p>
    <w:p w14:paraId="617E367D" w14:textId="66524B2D" w:rsidR="001C2B56" w:rsidRPr="00015711" w:rsidRDefault="001C2B56" w:rsidP="001C2B56">
      <w:pPr>
        <w:jc w:val="both"/>
        <w:rPr>
          <w:rFonts w:ascii="Arial" w:hAnsi="Arial" w:cs="Arial"/>
          <w:sz w:val="24"/>
          <w:szCs w:val="24"/>
        </w:rPr>
      </w:pPr>
      <w:r w:rsidRPr="00015711">
        <w:rPr>
          <w:rFonts w:ascii="Arial" w:hAnsi="Arial" w:cs="Arial"/>
          <w:sz w:val="24"/>
          <w:szCs w:val="24"/>
        </w:rPr>
        <w:t xml:space="preserve">Inoltre, le bozze di standard presentati dall’EFRAG </w:t>
      </w:r>
      <w:r w:rsidR="00181D3A" w:rsidRPr="00015711">
        <w:rPr>
          <w:rFonts w:ascii="Arial" w:hAnsi="Arial" w:cs="Arial"/>
          <w:sz w:val="24"/>
          <w:szCs w:val="24"/>
        </w:rPr>
        <w:t xml:space="preserve">non sembrano </w:t>
      </w:r>
      <w:r w:rsidR="006E32AC" w:rsidRPr="00015711">
        <w:rPr>
          <w:rFonts w:ascii="Arial" w:hAnsi="Arial" w:cs="Arial"/>
          <w:sz w:val="24"/>
          <w:szCs w:val="24"/>
        </w:rPr>
        <w:t xml:space="preserve">adeguatamente allineate </w:t>
      </w:r>
      <w:r w:rsidRPr="00015711">
        <w:rPr>
          <w:rFonts w:ascii="Arial" w:hAnsi="Arial" w:cs="Arial"/>
          <w:sz w:val="24"/>
          <w:szCs w:val="24"/>
        </w:rPr>
        <w:t>con gli standard internazionali già esistenti o in via di definizione (</w:t>
      </w:r>
      <w:r w:rsidR="006E32AC" w:rsidRPr="00015711">
        <w:rPr>
          <w:rFonts w:ascii="Arial" w:hAnsi="Arial" w:cs="Arial"/>
          <w:sz w:val="24"/>
          <w:szCs w:val="24"/>
        </w:rPr>
        <w:t>essen</w:t>
      </w:r>
      <w:r w:rsidR="00BF0D63" w:rsidRPr="00015711">
        <w:rPr>
          <w:rFonts w:ascii="Arial" w:hAnsi="Arial" w:cs="Arial"/>
          <w:sz w:val="24"/>
          <w:szCs w:val="24"/>
        </w:rPr>
        <w:t xml:space="preserve">ziale in questo senso è il riferimento al </w:t>
      </w:r>
      <w:r w:rsidRPr="00015711">
        <w:rPr>
          <w:rFonts w:ascii="Arial" w:hAnsi="Arial" w:cs="Arial"/>
          <w:sz w:val="24"/>
          <w:szCs w:val="24"/>
        </w:rPr>
        <w:t>GRI). Tale aspetto è essenziale al fine di evitare oneri informativi aggiuntivi o duplicazioni per le imprese che operano su mercati globali e che devono presentarsi su tali mercati e agli investitori attraverso informazioni standardizzate</w:t>
      </w:r>
      <w:r w:rsidR="00C71080" w:rsidRPr="00015711">
        <w:rPr>
          <w:rFonts w:ascii="Arial" w:hAnsi="Arial" w:cs="Arial"/>
          <w:sz w:val="24"/>
          <w:szCs w:val="24"/>
        </w:rPr>
        <w:t xml:space="preserve"> ed è uno dei principi richiamati dalla nuova versione de</w:t>
      </w:r>
      <w:r w:rsidR="00721E9E" w:rsidRPr="00015711">
        <w:rPr>
          <w:rFonts w:ascii="Arial" w:hAnsi="Arial" w:cs="Arial"/>
          <w:sz w:val="24"/>
          <w:szCs w:val="24"/>
        </w:rPr>
        <w:t>lla direttiva</w:t>
      </w:r>
      <w:r w:rsidRPr="00015711">
        <w:rPr>
          <w:rFonts w:ascii="Arial" w:hAnsi="Arial" w:cs="Arial"/>
          <w:sz w:val="24"/>
          <w:szCs w:val="24"/>
        </w:rPr>
        <w:t xml:space="preserve">. </w:t>
      </w:r>
    </w:p>
    <w:p w14:paraId="41FD3306" w14:textId="0B09F971" w:rsidR="001C2B56" w:rsidRPr="00015711" w:rsidRDefault="00721E9E" w:rsidP="001C2B56">
      <w:pPr>
        <w:jc w:val="both"/>
        <w:rPr>
          <w:rFonts w:ascii="Arial" w:hAnsi="Arial" w:cs="Arial"/>
          <w:sz w:val="24"/>
          <w:szCs w:val="24"/>
        </w:rPr>
      </w:pPr>
      <w:r w:rsidRPr="00015711">
        <w:rPr>
          <w:rFonts w:ascii="Arial" w:hAnsi="Arial" w:cs="Arial"/>
          <w:sz w:val="24"/>
          <w:szCs w:val="24"/>
        </w:rPr>
        <w:t>L</w:t>
      </w:r>
      <w:r w:rsidR="001C2B56" w:rsidRPr="00015711">
        <w:rPr>
          <w:rFonts w:ascii="Arial" w:hAnsi="Arial" w:cs="Arial"/>
          <w:sz w:val="24"/>
          <w:szCs w:val="24"/>
        </w:rPr>
        <w:t xml:space="preserve">e bozze di standard contengono </w:t>
      </w:r>
      <w:r w:rsidRPr="00015711">
        <w:rPr>
          <w:rFonts w:ascii="Arial" w:hAnsi="Arial" w:cs="Arial"/>
          <w:sz w:val="24"/>
          <w:szCs w:val="24"/>
        </w:rPr>
        <w:t xml:space="preserve">infine </w:t>
      </w:r>
      <w:r w:rsidR="001C2B56" w:rsidRPr="00015711">
        <w:rPr>
          <w:rFonts w:ascii="Arial" w:hAnsi="Arial" w:cs="Arial"/>
          <w:sz w:val="24"/>
          <w:szCs w:val="24"/>
        </w:rPr>
        <w:t>una serie di informazioni riguardanti gli aspetti di sostenibilità sociale dell’impresa ancora prima che sia stata adottata una tassonomia sociale che definisca nello specifico gli obiettivi da raggiungere. Esiste quindi il rischio che, al termine del processo regolamentare, la tassonomia sociale potrebbe essere disallineata rispetto a quanto richiesto negli standard EFRAG.</w:t>
      </w:r>
    </w:p>
    <w:p w14:paraId="5311C955" w14:textId="31879059" w:rsidR="00901DE4" w:rsidRPr="00015711" w:rsidRDefault="00276189" w:rsidP="00901DE4">
      <w:pPr>
        <w:jc w:val="both"/>
        <w:rPr>
          <w:rFonts w:ascii="Arial" w:hAnsi="Arial" w:cs="Arial"/>
          <w:b/>
          <w:bCs/>
          <w:sz w:val="24"/>
          <w:szCs w:val="24"/>
        </w:rPr>
      </w:pPr>
      <w:r w:rsidRPr="00015711">
        <w:rPr>
          <w:rFonts w:ascii="Arial" w:hAnsi="Arial" w:cs="Arial"/>
          <w:b/>
          <w:bCs/>
          <w:sz w:val="24"/>
          <w:szCs w:val="24"/>
        </w:rPr>
        <w:t>Struttura degli stan</w:t>
      </w:r>
      <w:r w:rsidR="0073673C" w:rsidRPr="00015711">
        <w:rPr>
          <w:rFonts w:ascii="Arial" w:hAnsi="Arial" w:cs="Arial"/>
          <w:b/>
          <w:bCs/>
          <w:sz w:val="24"/>
          <w:szCs w:val="24"/>
        </w:rPr>
        <w:t>dard</w:t>
      </w:r>
    </w:p>
    <w:p w14:paraId="5D7CCB04" w14:textId="77777777" w:rsidR="00F96F11" w:rsidRPr="00015711" w:rsidRDefault="005F3A57" w:rsidP="00901DE4">
      <w:pPr>
        <w:jc w:val="both"/>
        <w:rPr>
          <w:rFonts w:ascii="Arial" w:eastAsia="Times New Roman" w:hAnsi="Arial" w:cs="Arial"/>
          <w:sz w:val="24"/>
          <w:szCs w:val="24"/>
        </w:rPr>
      </w:pPr>
      <w:r w:rsidRPr="00015711">
        <w:rPr>
          <w:rFonts w:ascii="Arial" w:eastAsia="Times New Roman" w:hAnsi="Arial" w:cs="Arial"/>
          <w:sz w:val="24"/>
          <w:szCs w:val="24"/>
        </w:rPr>
        <w:lastRenderedPageBreak/>
        <w:t xml:space="preserve">Secondo quanto scritto nel Disclaimer in apertura a ciascuno standard </w:t>
      </w:r>
      <w:r w:rsidRPr="00015711">
        <w:rPr>
          <w:rFonts w:ascii="Arial" w:eastAsia="Times New Roman" w:hAnsi="Arial" w:cs="Arial"/>
          <w:i/>
          <w:iCs/>
          <w:sz w:val="24"/>
          <w:szCs w:val="24"/>
        </w:rPr>
        <w:t>(</w:t>
      </w:r>
      <w:proofErr w:type="spellStart"/>
      <w:r w:rsidRPr="00015711">
        <w:rPr>
          <w:rFonts w:ascii="Arial" w:eastAsia="Times New Roman" w:hAnsi="Arial" w:cs="Arial"/>
          <w:i/>
          <w:iCs/>
          <w:sz w:val="24"/>
          <w:szCs w:val="24"/>
        </w:rPr>
        <w:t>Each</w:t>
      </w:r>
      <w:proofErr w:type="spellEnd"/>
      <w:r w:rsidRPr="00015711">
        <w:rPr>
          <w:rFonts w:ascii="Arial" w:eastAsia="Times New Roman" w:hAnsi="Arial" w:cs="Arial"/>
          <w:i/>
          <w:iCs/>
          <w:sz w:val="24"/>
          <w:szCs w:val="24"/>
        </w:rPr>
        <w:t xml:space="preserve"> Disclosure </w:t>
      </w:r>
      <w:proofErr w:type="spellStart"/>
      <w:r w:rsidRPr="00015711">
        <w:rPr>
          <w:rFonts w:ascii="Arial" w:eastAsia="Times New Roman" w:hAnsi="Arial" w:cs="Arial"/>
          <w:i/>
          <w:iCs/>
          <w:sz w:val="24"/>
          <w:szCs w:val="24"/>
        </w:rPr>
        <w:t>Requirement</w:t>
      </w:r>
      <w:proofErr w:type="spellEnd"/>
      <w:r w:rsidRPr="00015711">
        <w:rPr>
          <w:rFonts w:ascii="Arial" w:eastAsia="Times New Roman" w:hAnsi="Arial" w:cs="Arial"/>
          <w:i/>
          <w:iCs/>
          <w:sz w:val="24"/>
          <w:szCs w:val="24"/>
        </w:rPr>
        <w:t xml:space="preserve"> </w:t>
      </w:r>
      <w:proofErr w:type="spellStart"/>
      <w:r w:rsidRPr="00015711">
        <w:rPr>
          <w:rFonts w:ascii="Arial" w:eastAsia="Times New Roman" w:hAnsi="Arial" w:cs="Arial"/>
          <w:i/>
          <w:iCs/>
          <w:sz w:val="24"/>
          <w:szCs w:val="24"/>
        </w:rPr>
        <w:t>is</w:t>
      </w:r>
      <w:proofErr w:type="spellEnd"/>
      <w:r w:rsidRPr="00015711">
        <w:rPr>
          <w:rFonts w:ascii="Arial" w:eastAsia="Times New Roman" w:hAnsi="Arial" w:cs="Arial"/>
          <w:i/>
          <w:iCs/>
          <w:sz w:val="24"/>
          <w:szCs w:val="24"/>
        </w:rPr>
        <w:t xml:space="preserve"> </w:t>
      </w:r>
      <w:proofErr w:type="spellStart"/>
      <w:r w:rsidRPr="00015711">
        <w:rPr>
          <w:rFonts w:ascii="Arial" w:eastAsia="Times New Roman" w:hAnsi="Arial" w:cs="Arial"/>
          <w:i/>
          <w:iCs/>
          <w:sz w:val="24"/>
          <w:szCs w:val="24"/>
        </w:rPr>
        <w:t>stated</w:t>
      </w:r>
      <w:proofErr w:type="spellEnd"/>
      <w:r w:rsidRPr="00015711">
        <w:rPr>
          <w:rFonts w:ascii="Arial" w:eastAsia="Times New Roman" w:hAnsi="Arial" w:cs="Arial"/>
          <w:i/>
          <w:iCs/>
          <w:sz w:val="24"/>
          <w:szCs w:val="24"/>
        </w:rPr>
        <w:t xml:space="preserve"> </w:t>
      </w:r>
      <w:proofErr w:type="gramStart"/>
      <w:r w:rsidRPr="00015711">
        <w:rPr>
          <w:rFonts w:ascii="Arial" w:eastAsia="Times New Roman" w:hAnsi="Arial" w:cs="Arial"/>
          <w:i/>
          <w:iCs/>
          <w:sz w:val="24"/>
          <w:szCs w:val="24"/>
        </w:rPr>
        <w:t>in a</w:t>
      </w:r>
      <w:proofErr w:type="gramEnd"/>
      <w:r w:rsidRPr="00015711">
        <w:rPr>
          <w:rFonts w:ascii="Arial" w:eastAsia="Times New Roman" w:hAnsi="Arial" w:cs="Arial"/>
          <w:i/>
          <w:iCs/>
          <w:sz w:val="24"/>
          <w:szCs w:val="24"/>
        </w:rPr>
        <w:t xml:space="preserve"> </w:t>
      </w:r>
      <w:proofErr w:type="spellStart"/>
      <w:r w:rsidRPr="00015711">
        <w:rPr>
          <w:rFonts w:ascii="Arial" w:eastAsia="Times New Roman" w:hAnsi="Arial" w:cs="Arial"/>
          <w:i/>
          <w:iCs/>
          <w:sz w:val="24"/>
          <w:szCs w:val="24"/>
        </w:rPr>
        <w:t>bold</w:t>
      </w:r>
      <w:proofErr w:type="spellEnd"/>
      <w:r w:rsidRPr="00015711">
        <w:rPr>
          <w:rFonts w:ascii="Arial" w:eastAsia="Times New Roman" w:hAnsi="Arial" w:cs="Arial"/>
          <w:i/>
          <w:iCs/>
          <w:sz w:val="24"/>
          <w:szCs w:val="24"/>
        </w:rPr>
        <w:t xml:space="preserve"> </w:t>
      </w:r>
      <w:proofErr w:type="spellStart"/>
      <w:r w:rsidRPr="00015711">
        <w:rPr>
          <w:rFonts w:ascii="Arial" w:eastAsia="Times New Roman" w:hAnsi="Arial" w:cs="Arial"/>
          <w:i/>
          <w:iCs/>
          <w:sz w:val="24"/>
          <w:szCs w:val="24"/>
        </w:rPr>
        <w:t>paragraph</w:t>
      </w:r>
      <w:proofErr w:type="spellEnd"/>
      <w:r w:rsidRPr="00015711">
        <w:rPr>
          <w:rFonts w:ascii="Arial" w:eastAsia="Times New Roman" w:hAnsi="Arial" w:cs="Arial"/>
          <w:i/>
          <w:iCs/>
          <w:sz w:val="24"/>
          <w:szCs w:val="24"/>
        </w:rPr>
        <w:t xml:space="preserve">, </w:t>
      </w:r>
      <w:proofErr w:type="spellStart"/>
      <w:r w:rsidRPr="00015711">
        <w:rPr>
          <w:rFonts w:ascii="Arial" w:eastAsia="Times New Roman" w:hAnsi="Arial" w:cs="Arial"/>
          <w:i/>
          <w:iCs/>
          <w:sz w:val="24"/>
          <w:szCs w:val="24"/>
        </w:rPr>
        <w:t>followed</w:t>
      </w:r>
      <w:proofErr w:type="spellEnd"/>
      <w:r w:rsidRPr="00015711">
        <w:rPr>
          <w:rFonts w:ascii="Arial" w:eastAsia="Times New Roman" w:hAnsi="Arial" w:cs="Arial"/>
          <w:i/>
          <w:iCs/>
          <w:sz w:val="24"/>
          <w:szCs w:val="24"/>
        </w:rPr>
        <w:t xml:space="preserve"> by a </w:t>
      </w:r>
      <w:proofErr w:type="spellStart"/>
      <w:r w:rsidRPr="00015711">
        <w:rPr>
          <w:rFonts w:ascii="Arial" w:eastAsia="Times New Roman" w:hAnsi="Arial" w:cs="Arial"/>
          <w:i/>
          <w:iCs/>
          <w:sz w:val="24"/>
          <w:szCs w:val="24"/>
        </w:rPr>
        <w:t>paragraph</w:t>
      </w:r>
      <w:proofErr w:type="spellEnd"/>
      <w:r w:rsidRPr="00015711">
        <w:rPr>
          <w:rFonts w:ascii="Arial" w:eastAsia="Times New Roman" w:hAnsi="Arial" w:cs="Arial"/>
          <w:i/>
          <w:iCs/>
          <w:sz w:val="24"/>
          <w:szCs w:val="24"/>
        </w:rPr>
        <w:t xml:space="preserve"> </w:t>
      </w:r>
      <w:proofErr w:type="spellStart"/>
      <w:r w:rsidRPr="00015711">
        <w:rPr>
          <w:rFonts w:ascii="Arial" w:eastAsia="Times New Roman" w:hAnsi="Arial" w:cs="Arial"/>
          <w:i/>
          <w:iCs/>
          <w:sz w:val="24"/>
          <w:szCs w:val="24"/>
        </w:rPr>
        <w:t>that</w:t>
      </w:r>
      <w:proofErr w:type="spellEnd"/>
      <w:r w:rsidRPr="00015711">
        <w:rPr>
          <w:rFonts w:ascii="Arial" w:eastAsia="Times New Roman" w:hAnsi="Arial" w:cs="Arial"/>
          <w:i/>
          <w:iCs/>
          <w:sz w:val="24"/>
          <w:szCs w:val="24"/>
        </w:rPr>
        <w:t xml:space="preserve"> </w:t>
      </w:r>
      <w:proofErr w:type="spellStart"/>
      <w:r w:rsidRPr="00015711">
        <w:rPr>
          <w:rFonts w:ascii="Arial" w:eastAsia="Times New Roman" w:hAnsi="Arial" w:cs="Arial"/>
          <w:i/>
          <w:iCs/>
          <w:sz w:val="24"/>
          <w:szCs w:val="24"/>
        </w:rPr>
        <w:t>illustrates</w:t>
      </w:r>
      <w:proofErr w:type="spellEnd"/>
      <w:r w:rsidRPr="00015711">
        <w:rPr>
          <w:rFonts w:ascii="Arial" w:eastAsia="Times New Roman" w:hAnsi="Arial" w:cs="Arial"/>
          <w:i/>
          <w:iCs/>
          <w:sz w:val="24"/>
          <w:szCs w:val="24"/>
        </w:rPr>
        <w:t xml:space="preserve"> the </w:t>
      </w:r>
      <w:proofErr w:type="spellStart"/>
      <w:r w:rsidRPr="00015711">
        <w:rPr>
          <w:rFonts w:ascii="Arial" w:eastAsia="Times New Roman" w:hAnsi="Arial" w:cs="Arial"/>
          <w:i/>
          <w:iCs/>
          <w:sz w:val="24"/>
          <w:szCs w:val="24"/>
        </w:rPr>
        <w:t>principle</w:t>
      </w:r>
      <w:proofErr w:type="spellEnd"/>
      <w:r w:rsidRPr="00015711">
        <w:rPr>
          <w:rFonts w:ascii="Arial" w:eastAsia="Times New Roman" w:hAnsi="Arial" w:cs="Arial"/>
          <w:i/>
          <w:iCs/>
          <w:sz w:val="24"/>
          <w:szCs w:val="24"/>
        </w:rPr>
        <w:t xml:space="preserve"> to be </w:t>
      </w:r>
      <w:proofErr w:type="spellStart"/>
      <w:r w:rsidRPr="00015711">
        <w:rPr>
          <w:rFonts w:ascii="Arial" w:eastAsia="Times New Roman" w:hAnsi="Arial" w:cs="Arial"/>
          <w:i/>
          <w:iCs/>
          <w:sz w:val="24"/>
          <w:szCs w:val="24"/>
        </w:rPr>
        <w:t>followed</w:t>
      </w:r>
      <w:proofErr w:type="spellEnd"/>
      <w:r w:rsidRPr="00015711">
        <w:rPr>
          <w:rFonts w:ascii="Arial" w:eastAsia="Times New Roman" w:hAnsi="Arial" w:cs="Arial"/>
          <w:i/>
          <w:iCs/>
          <w:sz w:val="24"/>
          <w:szCs w:val="24"/>
        </w:rPr>
        <w:t xml:space="preserve"> in the </w:t>
      </w:r>
      <w:proofErr w:type="spellStart"/>
      <w:r w:rsidRPr="00015711">
        <w:rPr>
          <w:rFonts w:ascii="Arial" w:eastAsia="Times New Roman" w:hAnsi="Arial" w:cs="Arial"/>
          <w:i/>
          <w:iCs/>
          <w:sz w:val="24"/>
          <w:szCs w:val="24"/>
        </w:rPr>
        <w:t>preparation</w:t>
      </w:r>
      <w:proofErr w:type="spellEnd"/>
      <w:r w:rsidRPr="00015711">
        <w:rPr>
          <w:rFonts w:ascii="Arial" w:eastAsia="Times New Roman" w:hAnsi="Arial" w:cs="Arial"/>
          <w:i/>
          <w:iCs/>
          <w:sz w:val="24"/>
          <w:szCs w:val="24"/>
        </w:rPr>
        <w:t xml:space="preserve"> of the </w:t>
      </w:r>
      <w:proofErr w:type="spellStart"/>
      <w:r w:rsidRPr="00015711">
        <w:rPr>
          <w:rFonts w:ascii="Arial" w:eastAsia="Times New Roman" w:hAnsi="Arial" w:cs="Arial"/>
          <w:i/>
          <w:iCs/>
          <w:sz w:val="24"/>
          <w:szCs w:val="24"/>
        </w:rPr>
        <w:t>respective</w:t>
      </w:r>
      <w:proofErr w:type="spellEnd"/>
      <w:r w:rsidRPr="00015711">
        <w:rPr>
          <w:rFonts w:ascii="Arial" w:eastAsia="Times New Roman" w:hAnsi="Arial" w:cs="Arial"/>
          <w:i/>
          <w:iCs/>
          <w:sz w:val="24"/>
          <w:szCs w:val="24"/>
        </w:rPr>
        <w:t xml:space="preserve"> </w:t>
      </w:r>
      <w:proofErr w:type="spellStart"/>
      <w:r w:rsidRPr="00015711">
        <w:rPr>
          <w:rFonts w:ascii="Arial" w:eastAsia="Times New Roman" w:hAnsi="Arial" w:cs="Arial"/>
          <w:i/>
          <w:iCs/>
          <w:sz w:val="24"/>
          <w:szCs w:val="24"/>
        </w:rPr>
        <w:t>disclosures</w:t>
      </w:r>
      <w:proofErr w:type="spellEnd"/>
      <w:r w:rsidRPr="00015711">
        <w:rPr>
          <w:rFonts w:ascii="Arial" w:eastAsia="Times New Roman" w:hAnsi="Arial" w:cs="Arial"/>
          <w:i/>
          <w:iCs/>
          <w:sz w:val="24"/>
          <w:szCs w:val="24"/>
        </w:rPr>
        <w:t xml:space="preserve">.), </w:t>
      </w:r>
      <w:r w:rsidRPr="00015711">
        <w:rPr>
          <w:rFonts w:ascii="Arial" w:eastAsia="Times New Roman" w:hAnsi="Arial" w:cs="Arial"/>
          <w:sz w:val="24"/>
          <w:szCs w:val="24"/>
        </w:rPr>
        <w:t>le informazioni da rendicontare obbligatoriamente (requisiti) sono quelle in grassetto. Ciononostante, alcuni paragrafi, che dovrebbero solamente illustrare come rispondere al requisito, indicano obbligatorietà (utilizzando la parola “</w:t>
      </w:r>
      <w:proofErr w:type="spellStart"/>
      <w:r w:rsidRPr="00015711">
        <w:rPr>
          <w:rFonts w:ascii="Arial" w:eastAsia="Times New Roman" w:hAnsi="Arial" w:cs="Arial"/>
          <w:sz w:val="24"/>
          <w:szCs w:val="24"/>
        </w:rPr>
        <w:t>shall</w:t>
      </w:r>
      <w:proofErr w:type="spellEnd"/>
      <w:r w:rsidRPr="00015711">
        <w:rPr>
          <w:rFonts w:ascii="Arial" w:eastAsia="Times New Roman" w:hAnsi="Arial" w:cs="Arial"/>
          <w:sz w:val="24"/>
          <w:szCs w:val="24"/>
        </w:rPr>
        <w:t xml:space="preserve">”). </w:t>
      </w:r>
    </w:p>
    <w:p w14:paraId="351FDCF8" w14:textId="577AEA50" w:rsidR="007219A9" w:rsidRPr="00015711" w:rsidRDefault="00352F4E" w:rsidP="00901DE4">
      <w:pPr>
        <w:jc w:val="both"/>
        <w:rPr>
          <w:rFonts w:ascii="Arial" w:hAnsi="Arial" w:cs="Arial"/>
          <w:sz w:val="24"/>
          <w:szCs w:val="24"/>
        </w:rPr>
      </w:pPr>
      <w:r w:rsidRPr="00015711">
        <w:rPr>
          <w:rFonts w:ascii="Arial" w:eastAsia="Times New Roman" w:hAnsi="Arial" w:cs="Arial"/>
          <w:sz w:val="24"/>
          <w:szCs w:val="24"/>
        </w:rPr>
        <w:t xml:space="preserve">Sempre nel Disclaimer si afferma che i paragrafi del corpo dello standard e le appendici hanno la stessa rilevanza (es. </w:t>
      </w:r>
      <w:r w:rsidRPr="00015711">
        <w:rPr>
          <w:rFonts w:ascii="Arial" w:eastAsia="Times New Roman" w:hAnsi="Arial" w:cs="Arial"/>
          <w:sz w:val="24"/>
          <w:szCs w:val="24"/>
          <w:lang w:val="en-GB"/>
        </w:rPr>
        <w:t xml:space="preserve">ESRS 1 </w:t>
      </w:r>
      <w:r w:rsidRPr="00015711">
        <w:rPr>
          <w:rFonts w:ascii="Arial" w:eastAsia="Times New Roman" w:hAnsi="Arial" w:cs="Arial"/>
          <w:i/>
          <w:iCs/>
          <w:sz w:val="24"/>
          <w:szCs w:val="24"/>
          <w:lang w:val="en-GB"/>
        </w:rPr>
        <w:t>All the paragraphs, including those in Appendices A and B, have equal authority.</w:t>
      </w:r>
      <w:r w:rsidRPr="00015711">
        <w:rPr>
          <w:rFonts w:ascii="Arial" w:eastAsia="Times New Roman" w:hAnsi="Arial" w:cs="Arial"/>
          <w:sz w:val="24"/>
          <w:szCs w:val="24"/>
          <w:lang w:val="en-GB"/>
        </w:rPr>
        <w:t xml:space="preserve">). </w:t>
      </w:r>
      <w:r w:rsidRPr="00015711">
        <w:rPr>
          <w:rFonts w:ascii="Arial" w:eastAsia="Times New Roman" w:hAnsi="Arial" w:cs="Arial"/>
          <w:sz w:val="24"/>
          <w:szCs w:val="24"/>
        </w:rPr>
        <w:t xml:space="preserve">Solitamente le Appendici rappresentano un dettaglio o un’aggiunta a quanto presente nel corpo principale di un documento. Il fatto di tenerle separate, ma di conferirgli la stessa importanza, non fa altro che dividere i requisiti di uno stesso argomento in più punti del documento rendendo meno fruibile l’adozione degli standard. </w:t>
      </w:r>
    </w:p>
    <w:p w14:paraId="44B39534" w14:textId="643DEB6A" w:rsidR="00793946" w:rsidRPr="00015711" w:rsidRDefault="00A918DC" w:rsidP="00901DE4">
      <w:pPr>
        <w:jc w:val="both"/>
        <w:rPr>
          <w:rFonts w:ascii="Arial" w:eastAsia="Times New Roman" w:hAnsi="Arial" w:cs="Arial"/>
          <w:sz w:val="24"/>
          <w:szCs w:val="24"/>
        </w:rPr>
      </w:pPr>
      <w:r w:rsidRPr="00015711">
        <w:rPr>
          <w:rFonts w:ascii="Arial" w:hAnsi="Arial" w:cs="Arial"/>
          <w:sz w:val="24"/>
          <w:szCs w:val="24"/>
        </w:rPr>
        <w:t xml:space="preserve">Questa </w:t>
      </w:r>
      <w:r w:rsidR="00D430F4" w:rsidRPr="00015711">
        <w:rPr>
          <w:rFonts w:ascii="Arial" w:hAnsi="Arial" w:cs="Arial"/>
          <w:sz w:val="24"/>
          <w:szCs w:val="24"/>
        </w:rPr>
        <w:t xml:space="preserve">concreta </w:t>
      </w:r>
      <w:r w:rsidRPr="00015711">
        <w:rPr>
          <w:rFonts w:ascii="Arial" w:hAnsi="Arial" w:cs="Arial"/>
          <w:sz w:val="24"/>
          <w:szCs w:val="24"/>
        </w:rPr>
        <w:t xml:space="preserve">articolazione </w:t>
      </w:r>
      <w:r w:rsidR="00D430F4" w:rsidRPr="00015711">
        <w:rPr>
          <w:rFonts w:ascii="Arial" w:hAnsi="Arial" w:cs="Arial"/>
          <w:sz w:val="24"/>
          <w:szCs w:val="24"/>
        </w:rPr>
        <w:t>del contenuto degli stan</w:t>
      </w:r>
      <w:r w:rsidR="00FA494D" w:rsidRPr="00015711">
        <w:rPr>
          <w:rFonts w:ascii="Arial" w:hAnsi="Arial" w:cs="Arial"/>
          <w:sz w:val="24"/>
          <w:szCs w:val="24"/>
        </w:rPr>
        <w:t xml:space="preserve">dard, </w:t>
      </w:r>
      <w:r w:rsidRPr="00015711">
        <w:rPr>
          <w:rFonts w:ascii="Arial" w:hAnsi="Arial" w:cs="Arial"/>
          <w:sz w:val="24"/>
          <w:szCs w:val="24"/>
        </w:rPr>
        <w:t xml:space="preserve">si presenta non chiara e comporta un notevole </w:t>
      </w:r>
      <w:r w:rsidR="00EF0395" w:rsidRPr="00015711">
        <w:rPr>
          <w:rFonts w:ascii="Arial" w:hAnsi="Arial" w:cs="Arial"/>
          <w:sz w:val="24"/>
          <w:szCs w:val="24"/>
        </w:rPr>
        <w:t>sforzo di ricostruzione.</w:t>
      </w:r>
      <w:r w:rsidR="00297B06" w:rsidRPr="00015711">
        <w:rPr>
          <w:rFonts w:ascii="Arial" w:hAnsi="Arial" w:cs="Arial"/>
          <w:sz w:val="24"/>
          <w:szCs w:val="24"/>
        </w:rPr>
        <w:t xml:space="preserve"> </w:t>
      </w:r>
      <w:r w:rsidR="00EF5F1F" w:rsidRPr="00015711">
        <w:rPr>
          <w:rFonts w:ascii="Arial" w:eastAsia="Times New Roman" w:hAnsi="Arial" w:cs="Arial"/>
          <w:sz w:val="24"/>
          <w:szCs w:val="24"/>
        </w:rPr>
        <w:t xml:space="preserve">Capire cosa si debba rendicontare </w:t>
      </w:r>
      <w:r w:rsidR="00556FEF" w:rsidRPr="00015711">
        <w:rPr>
          <w:rFonts w:ascii="Arial" w:eastAsia="Times New Roman" w:hAnsi="Arial" w:cs="Arial"/>
          <w:sz w:val="24"/>
          <w:szCs w:val="24"/>
        </w:rPr>
        <w:t>e qual è il valore de</w:t>
      </w:r>
      <w:r w:rsidR="00285665" w:rsidRPr="00015711">
        <w:rPr>
          <w:rFonts w:ascii="Arial" w:eastAsia="Times New Roman" w:hAnsi="Arial" w:cs="Arial"/>
          <w:sz w:val="24"/>
          <w:szCs w:val="24"/>
        </w:rPr>
        <w:t xml:space="preserve">lle proposizioni </w:t>
      </w:r>
      <w:r w:rsidR="00556FEF" w:rsidRPr="00015711">
        <w:rPr>
          <w:rFonts w:ascii="Arial" w:eastAsia="Times New Roman" w:hAnsi="Arial" w:cs="Arial"/>
          <w:sz w:val="24"/>
          <w:szCs w:val="24"/>
        </w:rPr>
        <w:t>conten</w:t>
      </w:r>
      <w:r w:rsidR="00285665" w:rsidRPr="00015711">
        <w:rPr>
          <w:rFonts w:ascii="Arial" w:eastAsia="Times New Roman" w:hAnsi="Arial" w:cs="Arial"/>
          <w:sz w:val="24"/>
          <w:szCs w:val="24"/>
        </w:rPr>
        <w:t xml:space="preserve">ute negli standard </w:t>
      </w:r>
      <w:r w:rsidR="00EF5F1F" w:rsidRPr="00015711">
        <w:rPr>
          <w:rFonts w:ascii="Arial" w:eastAsia="Times New Roman" w:hAnsi="Arial" w:cs="Arial"/>
          <w:sz w:val="24"/>
          <w:szCs w:val="24"/>
        </w:rPr>
        <w:t>è indispensabile per raggiungere una piena compliance</w:t>
      </w:r>
      <w:r w:rsidR="0011382D" w:rsidRPr="00015711">
        <w:rPr>
          <w:rFonts w:ascii="Arial" w:eastAsia="Times New Roman" w:hAnsi="Arial" w:cs="Arial"/>
          <w:sz w:val="24"/>
          <w:szCs w:val="24"/>
        </w:rPr>
        <w:t xml:space="preserve"> e rispondere in modo congruo agli obiettivi informativi.</w:t>
      </w:r>
    </w:p>
    <w:p w14:paraId="54B8521B" w14:textId="050243CA" w:rsidR="00EF0395" w:rsidRPr="00015711" w:rsidRDefault="00297B06" w:rsidP="00901DE4">
      <w:pPr>
        <w:jc w:val="both"/>
        <w:rPr>
          <w:rFonts w:ascii="Arial" w:hAnsi="Arial" w:cs="Arial"/>
          <w:sz w:val="24"/>
          <w:szCs w:val="24"/>
        </w:rPr>
      </w:pPr>
      <w:r w:rsidRPr="00015711">
        <w:rPr>
          <w:rFonts w:ascii="Arial" w:hAnsi="Arial" w:cs="Arial"/>
          <w:sz w:val="24"/>
          <w:szCs w:val="24"/>
        </w:rPr>
        <w:t>Sotto questo profil</w:t>
      </w:r>
      <w:r w:rsidR="00181BEF" w:rsidRPr="00015711">
        <w:rPr>
          <w:rFonts w:ascii="Arial" w:hAnsi="Arial" w:cs="Arial"/>
          <w:sz w:val="24"/>
          <w:szCs w:val="24"/>
        </w:rPr>
        <w:t>o</w:t>
      </w:r>
      <w:r w:rsidR="001F1BE7" w:rsidRPr="00015711">
        <w:rPr>
          <w:rFonts w:ascii="Arial" w:hAnsi="Arial" w:cs="Arial"/>
          <w:sz w:val="24"/>
          <w:szCs w:val="24"/>
        </w:rPr>
        <w:t xml:space="preserve">, lo schema del GRI appare molto più chiaro, </w:t>
      </w:r>
      <w:r w:rsidR="004D524F" w:rsidRPr="00015711">
        <w:rPr>
          <w:rFonts w:ascii="Arial" w:hAnsi="Arial" w:cs="Arial"/>
          <w:sz w:val="24"/>
          <w:szCs w:val="24"/>
        </w:rPr>
        <w:t>essendo articolato in elementi informativi obbligatori,</w:t>
      </w:r>
      <w:r w:rsidR="00155493" w:rsidRPr="00015711">
        <w:rPr>
          <w:rFonts w:ascii="Arial" w:hAnsi="Arial" w:cs="Arial"/>
          <w:sz w:val="24"/>
          <w:szCs w:val="24"/>
        </w:rPr>
        <w:t xml:space="preserve"> raccomandazioni e linee guida applicative che hanno </w:t>
      </w:r>
      <w:r w:rsidR="00685443" w:rsidRPr="00015711">
        <w:rPr>
          <w:rFonts w:ascii="Arial" w:hAnsi="Arial" w:cs="Arial"/>
          <w:sz w:val="24"/>
          <w:szCs w:val="24"/>
        </w:rPr>
        <w:t>un contenuto precettivo ben distinto</w:t>
      </w:r>
      <w:r w:rsidR="00BC12AE" w:rsidRPr="00015711">
        <w:rPr>
          <w:rFonts w:ascii="Arial" w:hAnsi="Arial" w:cs="Arial"/>
          <w:sz w:val="24"/>
          <w:szCs w:val="24"/>
        </w:rPr>
        <w:t xml:space="preserve"> tra loro</w:t>
      </w:r>
      <w:r w:rsidR="00685443" w:rsidRPr="00015711">
        <w:rPr>
          <w:rFonts w:ascii="Arial" w:hAnsi="Arial" w:cs="Arial"/>
          <w:sz w:val="24"/>
          <w:szCs w:val="24"/>
        </w:rPr>
        <w:t>.</w:t>
      </w:r>
      <w:r w:rsidR="004D524F" w:rsidRPr="00015711">
        <w:rPr>
          <w:rFonts w:ascii="Arial" w:hAnsi="Arial" w:cs="Arial"/>
          <w:sz w:val="24"/>
          <w:szCs w:val="24"/>
        </w:rPr>
        <w:t xml:space="preserve"> </w:t>
      </w:r>
      <w:r w:rsidR="001F1BE7" w:rsidRPr="00015711">
        <w:rPr>
          <w:rFonts w:ascii="Arial" w:hAnsi="Arial" w:cs="Arial"/>
          <w:sz w:val="24"/>
          <w:szCs w:val="24"/>
        </w:rPr>
        <w:t xml:space="preserve"> </w:t>
      </w:r>
    </w:p>
    <w:p w14:paraId="114A500D" w14:textId="0B96AF92" w:rsidR="00180528" w:rsidRPr="00015711" w:rsidRDefault="00EF0395" w:rsidP="00901DE4">
      <w:pPr>
        <w:jc w:val="both"/>
        <w:rPr>
          <w:rFonts w:ascii="Arial" w:hAnsi="Arial" w:cs="Arial"/>
          <w:sz w:val="24"/>
          <w:szCs w:val="24"/>
        </w:rPr>
      </w:pPr>
      <w:r w:rsidRPr="00015711">
        <w:rPr>
          <w:rFonts w:ascii="Arial" w:hAnsi="Arial" w:cs="Arial"/>
          <w:sz w:val="24"/>
          <w:szCs w:val="24"/>
        </w:rPr>
        <w:t xml:space="preserve">Sarebbe quindi auspicabile </w:t>
      </w:r>
      <w:r w:rsidR="00297B06" w:rsidRPr="00015711">
        <w:rPr>
          <w:rFonts w:ascii="Arial" w:hAnsi="Arial" w:cs="Arial"/>
          <w:sz w:val="24"/>
          <w:szCs w:val="24"/>
        </w:rPr>
        <w:t xml:space="preserve">una nuova articolazione </w:t>
      </w:r>
      <w:r w:rsidR="00685443" w:rsidRPr="00015711">
        <w:rPr>
          <w:rFonts w:ascii="Arial" w:hAnsi="Arial" w:cs="Arial"/>
          <w:sz w:val="24"/>
          <w:szCs w:val="24"/>
        </w:rPr>
        <w:t xml:space="preserve">degli standard che segua lo schema del GRI </w:t>
      </w:r>
      <w:r w:rsidR="00987E16" w:rsidRPr="00015711">
        <w:rPr>
          <w:rFonts w:ascii="Arial" w:hAnsi="Arial" w:cs="Arial"/>
          <w:sz w:val="24"/>
          <w:szCs w:val="24"/>
        </w:rPr>
        <w:t xml:space="preserve">raccogliendo </w:t>
      </w:r>
      <w:r w:rsidR="00DE5C4B" w:rsidRPr="00015711">
        <w:rPr>
          <w:rFonts w:ascii="Arial" w:hAnsi="Arial" w:cs="Arial"/>
          <w:sz w:val="24"/>
          <w:szCs w:val="24"/>
        </w:rPr>
        <w:t xml:space="preserve">le parti obbligatorie </w:t>
      </w:r>
      <w:r w:rsidR="00FD0A9A" w:rsidRPr="00015711">
        <w:rPr>
          <w:rFonts w:ascii="Arial" w:hAnsi="Arial" w:cs="Arial"/>
          <w:sz w:val="24"/>
          <w:szCs w:val="24"/>
        </w:rPr>
        <w:t>ne</w:t>
      </w:r>
      <w:r w:rsidR="00273D00" w:rsidRPr="00015711">
        <w:rPr>
          <w:rFonts w:ascii="Arial" w:hAnsi="Arial" w:cs="Arial"/>
          <w:sz w:val="24"/>
          <w:szCs w:val="24"/>
        </w:rPr>
        <w:t>i requisiti</w:t>
      </w:r>
      <w:r w:rsidR="00DB4589" w:rsidRPr="00015711">
        <w:rPr>
          <w:rFonts w:ascii="Arial" w:hAnsi="Arial" w:cs="Arial"/>
          <w:sz w:val="24"/>
          <w:szCs w:val="24"/>
        </w:rPr>
        <w:t xml:space="preserve">, ai quali si </w:t>
      </w:r>
      <w:r w:rsidR="00180528" w:rsidRPr="00015711">
        <w:rPr>
          <w:rFonts w:ascii="Arial" w:hAnsi="Arial" w:cs="Arial"/>
          <w:sz w:val="24"/>
          <w:szCs w:val="24"/>
        </w:rPr>
        <w:t>accompagnano</w:t>
      </w:r>
      <w:r w:rsidR="00DB4589" w:rsidRPr="00015711">
        <w:rPr>
          <w:rFonts w:ascii="Arial" w:hAnsi="Arial" w:cs="Arial"/>
          <w:sz w:val="24"/>
          <w:szCs w:val="24"/>
        </w:rPr>
        <w:t xml:space="preserve"> </w:t>
      </w:r>
      <w:r w:rsidR="00525AB6" w:rsidRPr="00015711">
        <w:rPr>
          <w:rFonts w:ascii="Arial" w:hAnsi="Arial" w:cs="Arial"/>
          <w:sz w:val="24"/>
          <w:szCs w:val="24"/>
        </w:rPr>
        <w:t xml:space="preserve">le raccomandazioni che indicano una certa linea di condotta auspicabile e </w:t>
      </w:r>
      <w:r w:rsidR="00180528" w:rsidRPr="00015711">
        <w:rPr>
          <w:rFonts w:ascii="Arial" w:hAnsi="Arial" w:cs="Arial"/>
          <w:sz w:val="24"/>
          <w:szCs w:val="24"/>
        </w:rPr>
        <w:t>le linee guida che contengono spiegazioni ed esempi.</w:t>
      </w:r>
      <w:r w:rsidR="00F96F11" w:rsidRPr="00015711">
        <w:rPr>
          <w:rFonts w:ascii="Arial" w:eastAsia="Times New Roman" w:hAnsi="Arial" w:cs="Arial"/>
          <w:sz w:val="24"/>
          <w:szCs w:val="24"/>
        </w:rPr>
        <w:t xml:space="preserve"> </w:t>
      </w:r>
    </w:p>
    <w:p w14:paraId="4DD6737E" w14:textId="56F7B63C" w:rsidR="001B2B54" w:rsidRPr="00015711" w:rsidRDefault="00DC31F7" w:rsidP="001B2B54">
      <w:pPr>
        <w:jc w:val="both"/>
        <w:rPr>
          <w:rFonts w:ascii="Arial" w:hAnsi="Arial" w:cs="Arial"/>
          <w:b/>
          <w:bCs/>
          <w:sz w:val="24"/>
          <w:szCs w:val="24"/>
        </w:rPr>
      </w:pPr>
      <w:r w:rsidRPr="00015711">
        <w:rPr>
          <w:rFonts w:ascii="Arial" w:hAnsi="Arial" w:cs="Arial"/>
          <w:b/>
          <w:bCs/>
          <w:sz w:val="24"/>
          <w:szCs w:val="24"/>
        </w:rPr>
        <w:t xml:space="preserve">La doppia </w:t>
      </w:r>
      <w:r w:rsidR="001B2B54" w:rsidRPr="00015711">
        <w:rPr>
          <w:rFonts w:ascii="Arial" w:hAnsi="Arial" w:cs="Arial"/>
          <w:b/>
          <w:bCs/>
          <w:sz w:val="24"/>
          <w:szCs w:val="24"/>
        </w:rPr>
        <w:t>materialità</w:t>
      </w:r>
    </w:p>
    <w:p w14:paraId="27A8B40C" w14:textId="77777777" w:rsidR="00DC31F7" w:rsidRPr="00015711" w:rsidRDefault="001B2B54" w:rsidP="001B2B54">
      <w:pPr>
        <w:jc w:val="both"/>
        <w:rPr>
          <w:rFonts w:ascii="Arial" w:hAnsi="Arial" w:cs="Arial"/>
          <w:sz w:val="24"/>
          <w:szCs w:val="24"/>
        </w:rPr>
      </w:pPr>
      <w:r w:rsidRPr="00015711">
        <w:rPr>
          <w:rFonts w:ascii="Arial" w:hAnsi="Arial" w:cs="Arial"/>
          <w:sz w:val="24"/>
          <w:szCs w:val="24"/>
        </w:rPr>
        <w:t>L’impianto della direttiva è basato sul</w:t>
      </w:r>
      <w:r w:rsidR="00767FE1" w:rsidRPr="00015711">
        <w:rPr>
          <w:rFonts w:ascii="Arial" w:hAnsi="Arial" w:cs="Arial"/>
          <w:sz w:val="24"/>
          <w:szCs w:val="24"/>
        </w:rPr>
        <w:t xml:space="preserve"> principio del</w:t>
      </w:r>
      <w:r w:rsidRPr="00015711">
        <w:rPr>
          <w:rFonts w:ascii="Arial" w:hAnsi="Arial" w:cs="Arial"/>
          <w:sz w:val="24"/>
          <w:szCs w:val="24"/>
        </w:rPr>
        <w:t>la doppia materialità</w:t>
      </w:r>
      <w:r w:rsidR="00064F4B" w:rsidRPr="00015711">
        <w:rPr>
          <w:rFonts w:ascii="Arial" w:hAnsi="Arial" w:cs="Arial"/>
          <w:sz w:val="24"/>
          <w:szCs w:val="24"/>
        </w:rPr>
        <w:t>:</w:t>
      </w:r>
      <w:r w:rsidRPr="00015711">
        <w:rPr>
          <w:rFonts w:ascii="Arial" w:hAnsi="Arial" w:cs="Arial"/>
          <w:sz w:val="24"/>
          <w:szCs w:val="24"/>
        </w:rPr>
        <w:t xml:space="preserve"> </w:t>
      </w:r>
      <w:r w:rsidR="00876DFA" w:rsidRPr="00015711">
        <w:rPr>
          <w:rFonts w:ascii="Arial" w:hAnsi="Arial" w:cs="Arial"/>
          <w:sz w:val="24"/>
          <w:szCs w:val="24"/>
        </w:rPr>
        <w:t xml:space="preserve">le informazioni devono essere rese </w:t>
      </w:r>
      <w:r w:rsidR="0039733F" w:rsidRPr="00015711">
        <w:rPr>
          <w:rFonts w:ascii="Arial" w:hAnsi="Arial" w:cs="Arial"/>
          <w:sz w:val="24"/>
          <w:szCs w:val="24"/>
        </w:rPr>
        <w:t xml:space="preserve">quando siano rilevanti per il possibile effetto </w:t>
      </w:r>
      <w:r w:rsidR="00F458EC" w:rsidRPr="00015711">
        <w:rPr>
          <w:rFonts w:ascii="Arial" w:hAnsi="Arial" w:cs="Arial"/>
          <w:sz w:val="24"/>
          <w:szCs w:val="24"/>
        </w:rPr>
        <w:t>finanziario</w:t>
      </w:r>
      <w:r w:rsidR="0039733F" w:rsidRPr="00015711">
        <w:rPr>
          <w:rFonts w:ascii="Arial" w:hAnsi="Arial" w:cs="Arial"/>
          <w:sz w:val="24"/>
          <w:szCs w:val="24"/>
        </w:rPr>
        <w:t xml:space="preserve"> </w:t>
      </w:r>
      <w:r w:rsidR="00BE51A4" w:rsidRPr="00015711">
        <w:rPr>
          <w:rFonts w:ascii="Arial" w:hAnsi="Arial" w:cs="Arial"/>
          <w:sz w:val="24"/>
          <w:szCs w:val="24"/>
        </w:rPr>
        <w:t xml:space="preserve">sull’impresa dell’evento (materialità finanziaria) oppure </w:t>
      </w:r>
      <w:r w:rsidR="00D70742" w:rsidRPr="00015711">
        <w:rPr>
          <w:rFonts w:ascii="Arial" w:hAnsi="Arial" w:cs="Arial"/>
          <w:sz w:val="24"/>
          <w:szCs w:val="24"/>
        </w:rPr>
        <w:t xml:space="preserve">quando siano collegate a impatti significativi su persone o ambiente </w:t>
      </w:r>
      <w:r w:rsidR="00DB6197" w:rsidRPr="00015711">
        <w:rPr>
          <w:rFonts w:ascii="Arial" w:hAnsi="Arial" w:cs="Arial"/>
          <w:sz w:val="24"/>
          <w:szCs w:val="24"/>
        </w:rPr>
        <w:t>nel breve, medio, lungo termine</w:t>
      </w:r>
      <w:r w:rsidR="00F458EC" w:rsidRPr="00015711">
        <w:rPr>
          <w:rFonts w:ascii="Arial" w:hAnsi="Arial" w:cs="Arial"/>
          <w:sz w:val="24"/>
          <w:szCs w:val="24"/>
        </w:rPr>
        <w:t xml:space="preserve"> (materialità d’impatto)</w:t>
      </w:r>
      <w:r w:rsidR="00DB6197" w:rsidRPr="00015711">
        <w:rPr>
          <w:rFonts w:ascii="Arial" w:hAnsi="Arial" w:cs="Arial"/>
          <w:sz w:val="24"/>
          <w:szCs w:val="24"/>
        </w:rPr>
        <w:t>.</w:t>
      </w:r>
    </w:p>
    <w:p w14:paraId="3C4D8C73" w14:textId="77777777" w:rsidR="003E2D62" w:rsidRPr="00015711" w:rsidRDefault="00FB7544" w:rsidP="001B2B54">
      <w:pPr>
        <w:jc w:val="both"/>
        <w:rPr>
          <w:rFonts w:ascii="Arial" w:hAnsi="Arial" w:cs="Arial"/>
          <w:sz w:val="24"/>
          <w:szCs w:val="24"/>
        </w:rPr>
      </w:pPr>
      <w:r w:rsidRPr="00015711">
        <w:rPr>
          <w:rFonts w:ascii="Arial" w:hAnsi="Arial" w:cs="Arial"/>
          <w:sz w:val="24"/>
          <w:szCs w:val="24"/>
        </w:rPr>
        <w:t xml:space="preserve">L’individuazione di </w:t>
      </w:r>
      <w:r w:rsidR="007E08C2" w:rsidRPr="00015711">
        <w:rPr>
          <w:rFonts w:ascii="Arial" w:hAnsi="Arial" w:cs="Arial"/>
          <w:sz w:val="24"/>
          <w:szCs w:val="24"/>
        </w:rPr>
        <w:t>quest</w:t>
      </w:r>
      <w:r w:rsidR="000E4D26" w:rsidRPr="00015711">
        <w:rPr>
          <w:rFonts w:ascii="Arial" w:hAnsi="Arial" w:cs="Arial"/>
          <w:sz w:val="24"/>
          <w:szCs w:val="24"/>
        </w:rPr>
        <w:t xml:space="preserve">e situazioni non appare </w:t>
      </w:r>
      <w:r w:rsidR="003E2D62" w:rsidRPr="00015711">
        <w:rPr>
          <w:rFonts w:ascii="Arial" w:hAnsi="Arial" w:cs="Arial"/>
          <w:sz w:val="24"/>
          <w:szCs w:val="24"/>
        </w:rPr>
        <w:t xml:space="preserve">semplice. </w:t>
      </w:r>
    </w:p>
    <w:p w14:paraId="05A46B67" w14:textId="77777777" w:rsidR="005268C2" w:rsidRPr="00015711" w:rsidRDefault="00DC31F7" w:rsidP="001B2B54">
      <w:pPr>
        <w:jc w:val="both"/>
        <w:rPr>
          <w:rFonts w:ascii="Arial" w:hAnsi="Arial" w:cs="Arial"/>
          <w:sz w:val="24"/>
          <w:szCs w:val="24"/>
        </w:rPr>
      </w:pPr>
      <w:r w:rsidRPr="00015711">
        <w:rPr>
          <w:rFonts w:ascii="Arial" w:hAnsi="Arial" w:cs="Arial"/>
          <w:sz w:val="24"/>
          <w:szCs w:val="24"/>
        </w:rPr>
        <w:t xml:space="preserve">Se il processo per definire </w:t>
      </w:r>
      <w:r w:rsidR="002174D5" w:rsidRPr="00015711">
        <w:rPr>
          <w:rFonts w:ascii="Arial" w:hAnsi="Arial" w:cs="Arial"/>
          <w:sz w:val="24"/>
          <w:szCs w:val="24"/>
        </w:rPr>
        <w:t xml:space="preserve">la materialità finanziaria di una certa informazione </w:t>
      </w:r>
      <w:r w:rsidR="002B6D9E" w:rsidRPr="00015711">
        <w:rPr>
          <w:rFonts w:ascii="Arial" w:hAnsi="Arial" w:cs="Arial"/>
          <w:sz w:val="24"/>
          <w:szCs w:val="24"/>
        </w:rPr>
        <w:t>può fare affidament</w:t>
      </w:r>
      <w:r w:rsidR="00497543" w:rsidRPr="00015711">
        <w:rPr>
          <w:rFonts w:ascii="Arial" w:hAnsi="Arial" w:cs="Arial"/>
          <w:sz w:val="24"/>
          <w:szCs w:val="24"/>
        </w:rPr>
        <w:t>o sui criteri dettati per le informazioni contabili,</w:t>
      </w:r>
      <w:r w:rsidR="003E2D62" w:rsidRPr="00015711">
        <w:rPr>
          <w:rFonts w:ascii="Arial" w:hAnsi="Arial" w:cs="Arial"/>
          <w:sz w:val="24"/>
          <w:szCs w:val="24"/>
        </w:rPr>
        <w:t xml:space="preserve"> è anche vero che la materialità finanziaria ESG potrebbe </w:t>
      </w:r>
      <w:r w:rsidR="005268C2" w:rsidRPr="00015711">
        <w:rPr>
          <w:rFonts w:ascii="Arial" w:hAnsi="Arial" w:cs="Arial"/>
          <w:sz w:val="24"/>
          <w:szCs w:val="24"/>
        </w:rPr>
        <w:t>presentare</w:t>
      </w:r>
      <w:r w:rsidR="00EC3472" w:rsidRPr="00015711">
        <w:rPr>
          <w:rFonts w:ascii="Arial" w:hAnsi="Arial" w:cs="Arial"/>
          <w:sz w:val="24"/>
          <w:szCs w:val="24"/>
        </w:rPr>
        <w:t xml:space="preserve"> caratteristiche diverse da quella prettamente contabile.</w:t>
      </w:r>
    </w:p>
    <w:p w14:paraId="39AD92C0" w14:textId="78220741" w:rsidR="006F7830" w:rsidRPr="00015711" w:rsidRDefault="00B6519D" w:rsidP="001B2B54">
      <w:pPr>
        <w:jc w:val="both"/>
        <w:rPr>
          <w:rFonts w:ascii="Arial" w:hAnsi="Arial" w:cs="Arial"/>
          <w:sz w:val="24"/>
          <w:szCs w:val="24"/>
        </w:rPr>
      </w:pPr>
      <w:r w:rsidRPr="00015711">
        <w:rPr>
          <w:rFonts w:ascii="Arial" w:hAnsi="Arial" w:cs="Arial"/>
          <w:sz w:val="24"/>
          <w:szCs w:val="24"/>
        </w:rPr>
        <w:t xml:space="preserve">Anche </w:t>
      </w:r>
      <w:r w:rsidR="00522FE2" w:rsidRPr="00015711">
        <w:rPr>
          <w:rFonts w:ascii="Arial" w:hAnsi="Arial" w:cs="Arial"/>
          <w:sz w:val="24"/>
          <w:szCs w:val="24"/>
        </w:rPr>
        <w:t xml:space="preserve">l’individuazione </w:t>
      </w:r>
      <w:r w:rsidR="004A7D01" w:rsidRPr="00015711">
        <w:rPr>
          <w:rFonts w:ascii="Arial" w:hAnsi="Arial" w:cs="Arial"/>
          <w:sz w:val="24"/>
          <w:szCs w:val="24"/>
        </w:rPr>
        <w:t xml:space="preserve">dei criteri </w:t>
      </w:r>
      <w:r w:rsidR="00C5307E" w:rsidRPr="00015711">
        <w:rPr>
          <w:rFonts w:ascii="Arial" w:hAnsi="Arial" w:cs="Arial"/>
          <w:sz w:val="24"/>
          <w:szCs w:val="24"/>
        </w:rPr>
        <w:t xml:space="preserve">per </w:t>
      </w:r>
      <w:r w:rsidR="002E76FF" w:rsidRPr="00015711">
        <w:rPr>
          <w:rFonts w:ascii="Arial" w:hAnsi="Arial" w:cs="Arial"/>
          <w:sz w:val="24"/>
          <w:szCs w:val="24"/>
        </w:rPr>
        <w:t>definire la materialità d’impatto</w:t>
      </w:r>
      <w:r w:rsidRPr="00015711">
        <w:rPr>
          <w:rFonts w:ascii="Arial" w:hAnsi="Arial" w:cs="Arial"/>
          <w:sz w:val="24"/>
          <w:szCs w:val="24"/>
        </w:rPr>
        <w:t xml:space="preserve"> appare problematica.</w:t>
      </w:r>
    </w:p>
    <w:p w14:paraId="78056AE4" w14:textId="36C5FC10" w:rsidR="00DF5C9B" w:rsidRPr="00015711" w:rsidRDefault="0009218D" w:rsidP="001B2B54">
      <w:pPr>
        <w:jc w:val="both"/>
        <w:rPr>
          <w:rFonts w:ascii="Arial" w:hAnsi="Arial" w:cs="Arial"/>
          <w:sz w:val="24"/>
          <w:szCs w:val="24"/>
        </w:rPr>
      </w:pPr>
      <w:r w:rsidRPr="00015711">
        <w:rPr>
          <w:rFonts w:ascii="Arial" w:hAnsi="Arial" w:cs="Arial"/>
          <w:sz w:val="24"/>
          <w:szCs w:val="24"/>
        </w:rPr>
        <w:t xml:space="preserve">Lo standard ESRS 1 </w:t>
      </w:r>
      <w:r w:rsidR="000A5A89" w:rsidRPr="00015711">
        <w:rPr>
          <w:rFonts w:ascii="Arial" w:hAnsi="Arial" w:cs="Arial"/>
          <w:sz w:val="24"/>
          <w:szCs w:val="24"/>
        </w:rPr>
        <w:t xml:space="preserve">precisa che una questione di sostenibilità </w:t>
      </w:r>
      <w:r w:rsidR="009623C1" w:rsidRPr="00015711">
        <w:rPr>
          <w:rFonts w:ascii="Arial" w:hAnsi="Arial" w:cs="Arial"/>
          <w:sz w:val="24"/>
          <w:szCs w:val="24"/>
        </w:rPr>
        <w:t xml:space="preserve">è materiale se è collegata ad impatti significativi </w:t>
      </w:r>
      <w:r w:rsidR="00D72363" w:rsidRPr="00015711">
        <w:rPr>
          <w:rFonts w:ascii="Arial" w:hAnsi="Arial" w:cs="Arial"/>
          <w:sz w:val="24"/>
          <w:szCs w:val="24"/>
        </w:rPr>
        <w:t>sulle persone e sull’ambiente</w:t>
      </w:r>
      <w:r w:rsidR="008B536F" w:rsidRPr="00015711">
        <w:rPr>
          <w:rFonts w:ascii="Arial" w:hAnsi="Arial" w:cs="Arial"/>
          <w:sz w:val="24"/>
          <w:szCs w:val="24"/>
        </w:rPr>
        <w:t>,</w:t>
      </w:r>
      <w:r w:rsidR="00D72363" w:rsidRPr="00015711">
        <w:rPr>
          <w:rFonts w:ascii="Arial" w:hAnsi="Arial" w:cs="Arial"/>
          <w:sz w:val="24"/>
          <w:szCs w:val="24"/>
        </w:rPr>
        <w:t xml:space="preserve"> </w:t>
      </w:r>
      <w:r w:rsidR="0026473E" w:rsidRPr="00015711">
        <w:rPr>
          <w:rFonts w:ascii="Arial" w:hAnsi="Arial" w:cs="Arial"/>
          <w:sz w:val="24"/>
          <w:szCs w:val="24"/>
        </w:rPr>
        <w:t>sia quando siano causati dall’impresa</w:t>
      </w:r>
      <w:r w:rsidR="008B536F" w:rsidRPr="00015711">
        <w:rPr>
          <w:rFonts w:ascii="Arial" w:hAnsi="Arial" w:cs="Arial"/>
          <w:sz w:val="24"/>
          <w:szCs w:val="24"/>
        </w:rPr>
        <w:t>,</w:t>
      </w:r>
      <w:r w:rsidR="0026473E" w:rsidRPr="00015711">
        <w:rPr>
          <w:rFonts w:ascii="Arial" w:hAnsi="Arial" w:cs="Arial"/>
          <w:sz w:val="24"/>
          <w:szCs w:val="24"/>
        </w:rPr>
        <w:t xml:space="preserve"> sia quando siano </w:t>
      </w:r>
      <w:r w:rsidR="008A6704" w:rsidRPr="00015711">
        <w:rPr>
          <w:rFonts w:ascii="Arial" w:hAnsi="Arial" w:cs="Arial"/>
          <w:sz w:val="24"/>
          <w:szCs w:val="24"/>
        </w:rPr>
        <w:t>collegati alle catene del valore.</w:t>
      </w:r>
      <w:r w:rsidR="002174D5" w:rsidRPr="00015711">
        <w:rPr>
          <w:rFonts w:ascii="Arial" w:hAnsi="Arial" w:cs="Arial"/>
          <w:sz w:val="24"/>
          <w:szCs w:val="24"/>
        </w:rPr>
        <w:t xml:space="preserve"> </w:t>
      </w:r>
      <w:r w:rsidR="00C07B01" w:rsidRPr="00015711">
        <w:rPr>
          <w:rFonts w:ascii="Arial" w:hAnsi="Arial" w:cs="Arial"/>
          <w:sz w:val="24"/>
          <w:szCs w:val="24"/>
        </w:rPr>
        <w:t>Lo stess</w:t>
      </w:r>
      <w:r w:rsidR="00DA6949" w:rsidRPr="00015711">
        <w:rPr>
          <w:rFonts w:ascii="Arial" w:hAnsi="Arial" w:cs="Arial"/>
          <w:sz w:val="24"/>
          <w:szCs w:val="24"/>
        </w:rPr>
        <w:t>o</w:t>
      </w:r>
      <w:r w:rsidR="00C07B01" w:rsidRPr="00015711">
        <w:rPr>
          <w:rFonts w:ascii="Arial" w:hAnsi="Arial" w:cs="Arial"/>
          <w:sz w:val="24"/>
          <w:szCs w:val="24"/>
        </w:rPr>
        <w:t xml:space="preserve"> standard ESRS 1 fornisce alcune indicazioni </w:t>
      </w:r>
      <w:r w:rsidR="0060348C" w:rsidRPr="00015711">
        <w:rPr>
          <w:rFonts w:ascii="Arial" w:hAnsi="Arial" w:cs="Arial"/>
          <w:sz w:val="24"/>
          <w:szCs w:val="24"/>
        </w:rPr>
        <w:t xml:space="preserve">operative </w:t>
      </w:r>
      <w:r w:rsidR="00C07B01" w:rsidRPr="00015711">
        <w:rPr>
          <w:rFonts w:ascii="Arial" w:hAnsi="Arial" w:cs="Arial"/>
          <w:sz w:val="24"/>
          <w:szCs w:val="24"/>
        </w:rPr>
        <w:t>ai punti 49 e 51 (</w:t>
      </w:r>
      <w:r w:rsidR="00C07B01" w:rsidRPr="00015711">
        <w:rPr>
          <w:rFonts w:ascii="Arial" w:hAnsi="Arial" w:cs="Arial"/>
          <w:i/>
          <w:iCs/>
          <w:sz w:val="24"/>
          <w:szCs w:val="24"/>
        </w:rPr>
        <w:t xml:space="preserve">impact </w:t>
      </w:r>
      <w:proofErr w:type="spellStart"/>
      <w:r w:rsidR="00C07B01" w:rsidRPr="00015711">
        <w:rPr>
          <w:rFonts w:ascii="Arial" w:hAnsi="Arial" w:cs="Arial"/>
          <w:i/>
          <w:iCs/>
          <w:sz w:val="24"/>
          <w:szCs w:val="24"/>
        </w:rPr>
        <w:t>materiality</w:t>
      </w:r>
      <w:proofErr w:type="spellEnd"/>
      <w:r w:rsidR="00C07B01" w:rsidRPr="00015711">
        <w:rPr>
          <w:rFonts w:ascii="Arial" w:hAnsi="Arial" w:cs="Arial"/>
          <w:sz w:val="24"/>
          <w:szCs w:val="24"/>
        </w:rPr>
        <w:t>) e 53 e 56 (</w:t>
      </w:r>
      <w:proofErr w:type="spellStart"/>
      <w:r w:rsidR="00C07B01" w:rsidRPr="00015711">
        <w:rPr>
          <w:rFonts w:ascii="Arial" w:hAnsi="Arial" w:cs="Arial"/>
          <w:i/>
          <w:iCs/>
          <w:sz w:val="24"/>
          <w:szCs w:val="24"/>
        </w:rPr>
        <w:t>financial</w:t>
      </w:r>
      <w:proofErr w:type="spellEnd"/>
      <w:r w:rsidR="00C07B01" w:rsidRPr="00015711">
        <w:rPr>
          <w:rFonts w:ascii="Arial" w:hAnsi="Arial" w:cs="Arial"/>
          <w:i/>
          <w:iCs/>
          <w:sz w:val="24"/>
          <w:szCs w:val="24"/>
        </w:rPr>
        <w:t xml:space="preserve"> </w:t>
      </w:r>
      <w:proofErr w:type="spellStart"/>
      <w:r w:rsidR="00C07B01" w:rsidRPr="00015711">
        <w:rPr>
          <w:rFonts w:ascii="Arial" w:hAnsi="Arial" w:cs="Arial"/>
          <w:i/>
          <w:iCs/>
          <w:sz w:val="24"/>
          <w:szCs w:val="24"/>
        </w:rPr>
        <w:t>materiality</w:t>
      </w:r>
      <w:proofErr w:type="spellEnd"/>
      <w:r w:rsidR="00C07B01" w:rsidRPr="00015711">
        <w:rPr>
          <w:rFonts w:ascii="Arial" w:hAnsi="Arial" w:cs="Arial"/>
          <w:sz w:val="24"/>
          <w:szCs w:val="24"/>
        </w:rPr>
        <w:t xml:space="preserve">) e altre indicazioni sono fornite da ESRS 2, </w:t>
      </w:r>
      <w:r w:rsidR="00C07B01" w:rsidRPr="00015711">
        <w:rPr>
          <w:rFonts w:ascii="Arial" w:hAnsi="Arial" w:cs="Arial"/>
          <w:i/>
          <w:iCs/>
          <w:sz w:val="24"/>
          <w:szCs w:val="24"/>
        </w:rPr>
        <w:t xml:space="preserve">Application </w:t>
      </w:r>
      <w:proofErr w:type="spellStart"/>
      <w:r w:rsidR="00C07B01" w:rsidRPr="00015711">
        <w:rPr>
          <w:rFonts w:ascii="Arial" w:hAnsi="Arial" w:cs="Arial"/>
          <w:i/>
          <w:iCs/>
          <w:sz w:val="24"/>
          <w:szCs w:val="24"/>
        </w:rPr>
        <w:t>guidance</w:t>
      </w:r>
      <w:proofErr w:type="spellEnd"/>
      <w:r w:rsidR="00C07B01" w:rsidRPr="00015711">
        <w:rPr>
          <w:rFonts w:ascii="Arial" w:hAnsi="Arial" w:cs="Arial"/>
          <w:sz w:val="24"/>
          <w:szCs w:val="24"/>
        </w:rPr>
        <w:t xml:space="preserve"> (punti da 56 a 77). Le indicazioni si mantengono tuttavia – quanto meno per </w:t>
      </w:r>
      <w:r w:rsidR="00C07B01" w:rsidRPr="00015711">
        <w:rPr>
          <w:rFonts w:ascii="Arial" w:hAnsi="Arial" w:cs="Arial"/>
          <w:i/>
          <w:iCs/>
          <w:sz w:val="24"/>
          <w:szCs w:val="24"/>
        </w:rPr>
        <w:t xml:space="preserve">l’impact </w:t>
      </w:r>
      <w:proofErr w:type="spellStart"/>
      <w:r w:rsidR="00C07B01" w:rsidRPr="00015711">
        <w:rPr>
          <w:rFonts w:ascii="Arial" w:hAnsi="Arial" w:cs="Arial"/>
          <w:i/>
          <w:iCs/>
          <w:sz w:val="24"/>
          <w:szCs w:val="24"/>
        </w:rPr>
        <w:t>m</w:t>
      </w:r>
      <w:r w:rsidR="00C07B01" w:rsidRPr="00015711">
        <w:rPr>
          <w:rFonts w:ascii="Arial" w:hAnsi="Arial" w:cs="Arial"/>
          <w:sz w:val="24"/>
          <w:szCs w:val="24"/>
        </w:rPr>
        <w:t>ateriality</w:t>
      </w:r>
      <w:proofErr w:type="spellEnd"/>
      <w:r w:rsidR="00C07B01" w:rsidRPr="00015711">
        <w:rPr>
          <w:rFonts w:ascii="Arial" w:hAnsi="Arial" w:cs="Arial"/>
          <w:sz w:val="24"/>
          <w:szCs w:val="24"/>
        </w:rPr>
        <w:t xml:space="preserve"> - a un livello meno dettagliato rispetto allo standard GRI 3 “</w:t>
      </w:r>
      <w:proofErr w:type="spellStart"/>
      <w:r w:rsidR="00C07B01" w:rsidRPr="00015711">
        <w:rPr>
          <w:rFonts w:ascii="Arial" w:hAnsi="Arial" w:cs="Arial"/>
          <w:sz w:val="24"/>
          <w:szCs w:val="24"/>
        </w:rPr>
        <w:t>Material</w:t>
      </w:r>
      <w:proofErr w:type="spellEnd"/>
      <w:r w:rsidR="00C07B01" w:rsidRPr="00015711">
        <w:rPr>
          <w:rFonts w:ascii="Arial" w:hAnsi="Arial" w:cs="Arial"/>
          <w:sz w:val="24"/>
          <w:szCs w:val="24"/>
        </w:rPr>
        <w:t xml:space="preserve"> </w:t>
      </w:r>
      <w:proofErr w:type="spellStart"/>
      <w:r w:rsidR="00C07B01" w:rsidRPr="00015711">
        <w:rPr>
          <w:rFonts w:ascii="Arial" w:hAnsi="Arial" w:cs="Arial"/>
          <w:sz w:val="24"/>
          <w:szCs w:val="24"/>
        </w:rPr>
        <w:t>topics</w:t>
      </w:r>
      <w:proofErr w:type="spellEnd"/>
      <w:r w:rsidR="00C07B01" w:rsidRPr="00015711">
        <w:rPr>
          <w:rFonts w:ascii="Arial" w:hAnsi="Arial" w:cs="Arial"/>
          <w:sz w:val="24"/>
          <w:szCs w:val="24"/>
        </w:rPr>
        <w:t>”, il riferimento al quale consentirebbe una ben più ampia illustrazione del processo di analisi di materialità</w:t>
      </w:r>
      <w:r w:rsidR="00D24568" w:rsidRPr="00015711">
        <w:rPr>
          <w:rFonts w:ascii="Arial" w:hAnsi="Arial" w:cs="Arial"/>
          <w:sz w:val="24"/>
          <w:szCs w:val="24"/>
        </w:rPr>
        <w:t xml:space="preserve">, compreso il problema </w:t>
      </w:r>
      <w:r w:rsidR="00D24568" w:rsidRPr="00015711">
        <w:rPr>
          <w:rFonts w:ascii="Arial" w:hAnsi="Arial" w:cs="Arial"/>
          <w:sz w:val="24"/>
          <w:szCs w:val="24"/>
        </w:rPr>
        <w:lastRenderedPageBreak/>
        <w:t>del coinvolgimento degli stakeholder che sembra, negli standard EFRAG, affrontato in modo vago</w:t>
      </w:r>
      <w:r w:rsidR="00A723DC" w:rsidRPr="00015711">
        <w:rPr>
          <w:rFonts w:ascii="Arial" w:hAnsi="Arial" w:cs="Arial"/>
          <w:sz w:val="24"/>
          <w:szCs w:val="24"/>
        </w:rPr>
        <w:t>.</w:t>
      </w:r>
    </w:p>
    <w:p w14:paraId="2E57B85F" w14:textId="298BF3B8" w:rsidR="00E46F68" w:rsidRPr="00015711" w:rsidRDefault="00A723DC" w:rsidP="001B2B54">
      <w:pPr>
        <w:jc w:val="both"/>
        <w:rPr>
          <w:rFonts w:ascii="Arial" w:hAnsi="Arial" w:cs="Arial"/>
          <w:sz w:val="24"/>
          <w:szCs w:val="24"/>
        </w:rPr>
      </w:pPr>
      <w:r w:rsidRPr="00015711">
        <w:rPr>
          <w:rFonts w:ascii="Arial" w:hAnsi="Arial" w:cs="Arial"/>
          <w:sz w:val="24"/>
          <w:szCs w:val="24"/>
        </w:rPr>
        <w:t>Vi è inoltre da considerare che la nozione assolutamente ampia di catena del valore</w:t>
      </w:r>
      <w:r w:rsidR="001322C5" w:rsidRPr="00015711">
        <w:rPr>
          <w:rFonts w:ascii="Arial" w:hAnsi="Arial" w:cs="Arial"/>
          <w:sz w:val="24"/>
          <w:szCs w:val="24"/>
        </w:rPr>
        <w:t xml:space="preserve"> potrebbe condurre a con</w:t>
      </w:r>
      <w:r w:rsidR="00B23DB1" w:rsidRPr="00015711">
        <w:rPr>
          <w:rFonts w:ascii="Arial" w:hAnsi="Arial" w:cs="Arial"/>
          <w:sz w:val="24"/>
          <w:szCs w:val="24"/>
        </w:rPr>
        <w:t xml:space="preserve">siderare </w:t>
      </w:r>
      <w:r w:rsidR="000E55C2" w:rsidRPr="00015711">
        <w:rPr>
          <w:rFonts w:ascii="Arial" w:hAnsi="Arial" w:cs="Arial"/>
          <w:sz w:val="24"/>
          <w:szCs w:val="24"/>
        </w:rPr>
        <w:t xml:space="preserve">come informazioni materiali </w:t>
      </w:r>
      <w:r w:rsidR="00277C66" w:rsidRPr="00015711">
        <w:rPr>
          <w:rFonts w:ascii="Arial" w:hAnsi="Arial" w:cs="Arial"/>
          <w:sz w:val="24"/>
          <w:szCs w:val="24"/>
        </w:rPr>
        <w:t>anche quell</w:t>
      </w:r>
      <w:r w:rsidR="00A32B2A" w:rsidRPr="00015711">
        <w:rPr>
          <w:rFonts w:ascii="Arial" w:hAnsi="Arial" w:cs="Arial"/>
          <w:sz w:val="24"/>
          <w:szCs w:val="24"/>
        </w:rPr>
        <w:t>e collegate a</w:t>
      </w:r>
      <w:r w:rsidR="00B23DB1" w:rsidRPr="00015711">
        <w:rPr>
          <w:rFonts w:ascii="Arial" w:hAnsi="Arial" w:cs="Arial"/>
          <w:sz w:val="24"/>
          <w:szCs w:val="24"/>
        </w:rPr>
        <w:t xml:space="preserve"> impatti esterni relativi a imprese della catena del valore </w:t>
      </w:r>
      <w:r w:rsidR="00BC5E43" w:rsidRPr="00015711">
        <w:rPr>
          <w:rFonts w:ascii="Arial" w:hAnsi="Arial" w:cs="Arial"/>
          <w:sz w:val="24"/>
          <w:szCs w:val="24"/>
        </w:rPr>
        <w:t xml:space="preserve">in ambiti assolutamente estranei </w:t>
      </w:r>
      <w:r w:rsidR="00E46F68" w:rsidRPr="00015711">
        <w:rPr>
          <w:rFonts w:ascii="Arial" w:hAnsi="Arial" w:cs="Arial"/>
          <w:sz w:val="24"/>
          <w:szCs w:val="24"/>
        </w:rPr>
        <w:t>allo specifico business dell’impresa.</w:t>
      </w:r>
    </w:p>
    <w:p w14:paraId="007B3A70" w14:textId="2CEC40AE" w:rsidR="007F4603" w:rsidRPr="00015711" w:rsidRDefault="00BC5E43" w:rsidP="001B2B54">
      <w:pPr>
        <w:jc w:val="both"/>
        <w:rPr>
          <w:rFonts w:ascii="Arial" w:hAnsi="Arial" w:cs="Arial"/>
          <w:sz w:val="24"/>
          <w:szCs w:val="24"/>
        </w:rPr>
      </w:pPr>
      <w:r w:rsidRPr="00015711">
        <w:rPr>
          <w:rFonts w:ascii="Arial" w:hAnsi="Arial" w:cs="Arial"/>
          <w:sz w:val="24"/>
          <w:szCs w:val="24"/>
        </w:rPr>
        <w:t>Alla luce di questi problemi</w:t>
      </w:r>
      <w:r w:rsidR="00031FD6" w:rsidRPr="00015711">
        <w:rPr>
          <w:rFonts w:ascii="Arial" w:hAnsi="Arial" w:cs="Arial"/>
          <w:sz w:val="24"/>
          <w:szCs w:val="24"/>
        </w:rPr>
        <w:t>, appare necessario</w:t>
      </w:r>
      <w:r w:rsidR="00690448" w:rsidRPr="00015711">
        <w:rPr>
          <w:rFonts w:ascii="Arial" w:hAnsi="Arial" w:cs="Arial"/>
          <w:sz w:val="24"/>
          <w:szCs w:val="24"/>
        </w:rPr>
        <w:t>: a)</w:t>
      </w:r>
      <w:r w:rsidR="00031FD6" w:rsidRPr="00015711">
        <w:rPr>
          <w:rFonts w:ascii="Arial" w:hAnsi="Arial" w:cs="Arial"/>
          <w:sz w:val="24"/>
          <w:szCs w:val="24"/>
        </w:rPr>
        <w:t xml:space="preserve"> </w:t>
      </w:r>
      <w:r w:rsidR="00E46F68" w:rsidRPr="00015711">
        <w:rPr>
          <w:rFonts w:ascii="Arial" w:hAnsi="Arial" w:cs="Arial"/>
          <w:sz w:val="24"/>
          <w:szCs w:val="24"/>
        </w:rPr>
        <w:t xml:space="preserve">indicare in modo più </w:t>
      </w:r>
      <w:r w:rsidR="00FA6756" w:rsidRPr="00015711">
        <w:rPr>
          <w:rFonts w:ascii="Arial" w:hAnsi="Arial" w:cs="Arial"/>
          <w:sz w:val="24"/>
          <w:szCs w:val="24"/>
        </w:rPr>
        <w:t>dettagliato</w:t>
      </w:r>
      <w:r w:rsidR="00E46F68" w:rsidRPr="00015711">
        <w:rPr>
          <w:rFonts w:ascii="Arial" w:hAnsi="Arial" w:cs="Arial"/>
          <w:sz w:val="24"/>
          <w:szCs w:val="24"/>
        </w:rPr>
        <w:t xml:space="preserve"> </w:t>
      </w:r>
      <w:r w:rsidR="00FA6756" w:rsidRPr="00015711">
        <w:rPr>
          <w:rFonts w:ascii="Arial" w:hAnsi="Arial" w:cs="Arial"/>
          <w:sz w:val="24"/>
          <w:szCs w:val="24"/>
        </w:rPr>
        <w:t>i criteri da seguire nel processo di analisi di materialità</w:t>
      </w:r>
      <w:r w:rsidR="007D219F" w:rsidRPr="00015711">
        <w:rPr>
          <w:rFonts w:ascii="Arial" w:hAnsi="Arial" w:cs="Arial"/>
          <w:sz w:val="24"/>
          <w:szCs w:val="24"/>
        </w:rPr>
        <w:t>, seguendo le indicazioni contenute nel GRI (GRI</w:t>
      </w:r>
      <w:r w:rsidR="001A0B6D" w:rsidRPr="00015711">
        <w:rPr>
          <w:rFonts w:ascii="Arial" w:hAnsi="Arial" w:cs="Arial"/>
          <w:sz w:val="24"/>
          <w:szCs w:val="24"/>
        </w:rPr>
        <w:t xml:space="preserve"> 3 </w:t>
      </w:r>
      <w:proofErr w:type="spellStart"/>
      <w:r w:rsidR="001A0B6D" w:rsidRPr="00015711">
        <w:rPr>
          <w:rFonts w:ascii="Arial" w:hAnsi="Arial" w:cs="Arial"/>
          <w:sz w:val="24"/>
          <w:szCs w:val="24"/>
        </w:rPr>
        <w:t>Material</w:t>
      </w:r>
      <w:proofErr w:type="spellEnd"/>
      <w:r w:rsidR="001A0B6D" w:rsidRPr="00015711">
        <w:rPr>
          <w:rFonts w:ascii="Arial" w:hAnsi="Arial" w:cs="Arial"/>
          <w:sz w:val="24"/>
          <w:szCs w:val="24"/>
        </w:rPr>
        <w:t xml:space="preserve"> </w:t>
      </w:r>
      <w:proofErr w:type="spellStart"/>
      <w:r w:rsidR="001A0B6D" w:rsidRPr="00015711">
        <w:rPr>
          <w:rFonts w:ascii="Arial" w:hAnsi="Arial" w:cs="Arial"/>
          <w:sz w:val="24"/>
          <w:szCs w:val="24"/>
        </w:rPr>
        <w:t>topics</w:t>
      </w:r>
      <w:proofErr w:type="spellEnd"/>
      <w:r w:rsidR="001A0B6D" w:rsidRPr="00015711">
        <w:rPr>
          <w:rFonts w:ascii="Arial" w:hAnsi="Arial" w:cs="Arial"/>
          <w:sz w:val="24"/>
          <w:szCs w:val="24"/>
        </w:rPr>
        <w:t>, versione 2021)</w:t>
      </w:r>
      <w:r w:rsidR="00760EE8" w:rsidRPr="00015711">
        <w:rPr>
          <w:rFonts w:ascii="Arial" w:hAnsi="Arial" w:cs="Arial"/>
          <w:sz w:val="24"/>
          <w:szCs w:val="24"/>
        </w:rPr>
        <w:t xml:space="preserve">; b) </w:t>
      </w:r>
      <w:r w:rsidR="00FA6756" w:rsidRPr="00015711">
        <w:rPr>
          <w:rFonts w:ascii="Arial" w:hAnsi="Arial" w:cs="Arial"/>
          <w:sz w:val="24"/>
          <w:szCs w:val="24"/>
        </w:rPr>
        <w:t>precisa</w:t>
      </w:r>
      <w:r w:rsidR="00976B8B" w:rsidRPr="00015711">
        <w:rPr>
          <w:rFonts w:ascii="Arial" w:hAnsi="Arial" w:cs="Arial"/>
          <w:sz w:val="24"/>
          <w:szCs w:val="24"/>
        </w:rPr>
        <w:t>re</w:t>
      </w:r>
      <w:r w:rsidR="00FA6756" w:rsidRPr="00015711">
        <w:rPr>
          <w:rFonts w:ascii="Arial" w:hAnsi="Arial" w:cs="Arial"/>
          <w:sz w:val="24"/>
          <w:szCs w:val="24"/>
        </w:rPr>
        <w:t xml:space="preserve"> che</w:t>
      </w:r>
      <w:r w:rsidR="005C78BE" w:rsidRPr="00015711">
        <w:rPr>
          <w:rFonts w:ascii="Arial" w:hAnsi="Arial" w:cs="Arial"/>
          <w:sz w:val="24"/>
          <w:szCs w:val="24"/>
        </w:rPr>
        <w:t xml:space="preserve"> </w:t>
      </w:r>
      <w:r w:rsidR="007921A7" w:rsidRPr="00015711">
        <w:rPr>
          <w:rFonts w:ascii="Arial" w:hAnsi="Arial" w:cs="Arial"/>
          <w:sz w:val="24"/>
          <w:szCs w:val="24"/>
        </w:rPr>
        <w:t>l</w:t>
      </w:r>
      <w:r w:rsidR="00451093" w:rsidRPr="00015711">
        <w:rPr>
          <w:rFonts w:ascii="Arial" w:hAnsi="Arial" w:cs="Arial"/>
          <w:sz w:val="24"/>
          <w:szCs w:val="24"/>
        </w:rPr>
        <w:t xml:space="preserve">a valutazione </w:t>
      </w:r>
      <w:r w:rsidR="00B62945" w:rsidRPr="00015711">
        <w:rPr>
          <w:rFonts w:ascii="Arial" w:hAnsi="Arial" w:cs="Arial"/>
          <w:sz w:val="24"/>
          <w:szCs w:val="24"/>
        </w:rPr>
        <w:t>di</w:t>
      </w:r>
      <w:r w:rsidR="007921A7" w:rsidRPr="00015711">
        <w:rPr>
          <w:rFonts w:ascii="Arial" w:hAnsi="Arial" w:cs="Arial"/>
          <w:sz w:val="24"/>
          <w:szCs w:val="24"/>
        </w:rPr>
        <w:t xml:space="preserve"> materialità </w:t>
      </w:r>
      <w:r w:rsidR="00B62945" w:rsidRPr="00015711">
        <w:rPr>
          <w:rFonts w:ascii="Arial" w:hAnsi="Arial" w:cs="Arial"/>
          <w:sz w:val="24"/>
          <w:szCs w:val="24"/>
        </w:rPr>
        <w:t xml:space="preserve">è un processo che </w:t>
      </w:r>
      <w:r w:rsidR="00D1106B" w:rsidRPr="00015711">
        <w:rPr>
          <w:rFonts w:ascii="Arial" w:hAnsi="Arial" w:cs="Arial"/>
          <w:sz w:val="24"/>
          <w:szCs w:val="24"/>
        </w:rPr>
        <w:t xml:space="preserve">si pone a livello di argomento generale </w:t>
      </w:r>
      <w:r w:rsidR="0004724B" w:rsidRPr="00015711">
        <w:rPr>
          <w:rFonts w:ascii="Arial" w:hAnsi="Arial" w:cs="Arial"/>
          <w:sz w:val="24"/>
          <w:szCs w:val="24"/>
        </w:rPr>
        <w:t xml:space="preserve">(ad esempio cambiamenti climatici, </w:t>
      </w:r>
      <w:r w:rsidR="00D44A1F" w:rsidRPr="00015711">
        <w:rPr>
          <w:rFonts w:ascii="Arial" w:hAnsi="Arial" w:cs="Arial"/>
          <w:sz w:val="24"/>
          <w:szCs w:val="24"/>
        </w:rPr>
        <w:t>sicurezza</w:t>
      </w:r>
      <w:r w:rsidR="0004724B" w:rsidRPr="00015711">
        <w:rPr>
          <w:rFonts w:ascii="Arial" w:hAnsi="Arial" w:cs="Arial"/>
          <w:sz w:val="24"/>
          <w:szCs w:val="24"/>
        </w:rPr>
        <w:t xml:space="preserve"> sul lavoro</w:t>
      </w:r>
      <w:r w:rsidR="00810AAE" w:rsidRPr="00015711">
        <w:rPr>
          <w:rFonts w:ascii="Arial" w:hAnsi="Arial" w:cs="Arial"/>
          <w:sz w:val="24"/>
          <w:szCs w:val="24"/>
        </w:rPr>
        <w:t xml:space="preserve">)  piuttosto che a livello di singoli impatti o di requisiti </w:t>
      </w:r>
      <w:r w:rsidR="00D44A1F" w:rsidRPr="00015711">
        <w:rPr>
          <w:rFonts w:ascii="Arial" w:hAnsi="Arial" w:cs="Arial"/>
          <w:sz w:val="24"/>
          <w:szCs w:val="24"/>
        </w:rPr>
        <w:t>informativi</w:t>
      </w:r>
      <w:r w:rsidR="00432378" w:rsidRPr="00015711">
        <w:rPr>
          <w:rFonts w:ascii="Arial" w:hAnsi="Arial" w:cs="Arial"/>
          <w:sz w:val="24"/>
          <w:szCs w:val="24"/>
        </w:rPr>
        <w:t xml:space="preserve"> e che la valutazione della </w:t>
      </w:r>
      <w:r w:rsidR="00D44A1F" w:rsidRPr="00015711">
        <w:rPr>
          <w:rFonts w:ascii="Arial" w:hAnsi="Arial" w:cs="Arial"/>
          <w:sz w:val="24"/>
          <w:szCs w:val="24"/>
        </w:rPr>
        <w:t>significatività</w:t>
      </w:r>
      <w:r w:rsidR="00432378" w:rsidRPr="00015711">
        <w:rPr>
          <w:rFonts w:ascii="Arial" w:hAnsi="Arial" w:cs="Arial"/>
          <w:sz w:val="24"/>
          <w:szCs w:val="24"/>
        </w:rPr>
        <w:t xml:space="preserve"> sia applicata a livello di impatto (così anche </w:t>
      </w:r>
      <w:r w:rsidR="000763FF" w:rsidRPr="00015711">
        <w:rPr>
          <w:rFonts w:ascii="Arial" w:hAnsi="Arial" w:cs="Arial"/>
          <w:sz w:val="24"/>
          <w:szCs w:val="24"/>
        </w:rPr>
        <w:t xml:space="preserve">la  Lettera GRI </w:t>
      </w:r>
      <w:r w:rsidR="00A06C2D" w:rsidRPr="00015711">
        <w:rPr>
          <w:rFonts w:ascii="Arial" w:hAnsi="Arial" w:cs="Arial"/>
          <w:sz w:val="24"/>
          <w:szCs w:val="24"/>
        </w:rPr>
        <w:t xml:space="preserve">di commento agli standard EFRAG </w:t>
      </w:r>
      <w:r w:rsidR="000763FF" w:rsidRPr="00015711">
        <w:rPr>
          <w:rFonts w:ascii="Arial" w:hAnsi="Arial" w:cs="Arial"/>
          <w:sz w:val="24"/>
          <w:szCs w:val="24"/>
        </w:rPr>
        <w:t>20 giugno 2022)</w:t>
      </w:r>
      <w:r w:rsidR="00AB7D4E" w:rsidRPr="00015711">
        <w:rPr>
          <w:rFonts w:ascii="Arial" w:hAnsi="Arial" w:cs="Arial"/>
          <w:sz w:val="24"/>
          <w:szCs w:val="24"/>
        </w:rPr>
        <w:t xml:space="preserve">; c) </w:t>
      </w:r>
      <w:r w:rsidR="00717FC3" w:rsidRPr="00015711">
        <w:rPr>
          <w:rFonts w:ascii="Arial" w:hAnsi="Arial" w:cs="Arial"/>
          <w:sz w:val="24"/>
          <w:szCs w:val="24"/>
        </w:rPr>
        <w:t xml:space="preserve">gli impatti </w:t>
      </w:r>
      <w:r w:rsidR="005C78BE" w:rsidRPr="00015711">
        <w:rPr>
          <w:rFonts w:ascii="Arial" w:hAnsi="Arial" w:cs="Arial"/>
          <w:sz w:val="24"/>
          <w:szCs w:val="24"/>
        </w:rPr>
        <w:t>devono essere considerati alla luce de</w:t>
      </w:r>
      <w:r w:rsidR="00317E6C" w:rsidRPr="00015711">
        <w:rPr>
          <w:rFonts w:ascii="Arial" w:hAnsi="Arial" w:cs="Arial"/>
          <w:sz w:val="24"/>
          <w:szCs w:val="24"/>
        </w:rPr>
        <w:t>i settori significativi</w:t>
      </w:r>
      <w:r w:rsidR="001E0898" w:rsidRPr="00015711">
        <w:rPr>
          <w:rFonts w:ascii="Arial" w:hAnsi="Arial" w:cs="Arial"/>
          <w:sz w:val="24"/>
          <w:szCs w:val="24"/>
        </w:rPr>
        <w:t xml:space="preserve"> di operatività</w:t>
      </w:r>
      <w:r w:rsidR="00045891" w:rsidRPr="00015711">
        <w:rPr>
          <w:rFonts w:ascii="Arial" w:hAnsi="Arial" w:cs="Arial"/>
          <w:sz w:val="24"/>
          <w:szCs w:val="24"/>
        </w:rPr>
        <w:t>, del</w:t>
      </w:r>
      <w:r w:rsidR="00601AC8" w:rsidRPr="00015711">
        <w:rPr>
          <w:rFonts w:ascii="Arial" w:hAnsi="Arial" w:cs="Arial"/>
          <w:sz w:val="24"/>
          <w:szCs w:val="24"/>
        </w:rPr>
        <w:t xml:space="preserve"> profilo di business</w:t>
      </w:r>
      <w:r w:rsidR="00D90E18" w:rsidRPr="00015711">
        <w:rPr>
          <w:rFonts w:ascii="Arial" w:hAnsi="Arial" w:cs="Arial"/>
          <w:sz w:val="24"/>
          <w:szCs w:val="24"/>
        </w:rPr>
        <w:t>,</w:t>
      </w:r>
      <w:r w:rsidR="00601AC8" w:rsidRPr="00015711">
        <w:rPr>
          <w:rFonts w:ascii="Arial" w:hAnsi="Arial" w:cs="Arial"/>
          <w:sz w:val="24"/>
          <w:szCs w:val="24"/>
        </w:rPr>
        <w:t xml:space="preserve"> </w:t>
      </w:r>
      <w:r w:rsidR="00D90E18" w:rsidRPr="00015711">
        <w:rPr>
          <w:rFonts w:ascii="Arial" w:hAnsi="Arial" w:cs="Arial"/>
          <w:sz w:val="24"/>
          <w:szCs w:val="24"/>
        </w:rPr>
        <w:t>del</w:t>
      </w:r>
      <w:r w:rsidR="005C78BE" w:rsidRPr="00015711">
        <w:rPr>
          <w:rFonts w:ascii="Arial" w:hAnsi="Arial" w:cs="Arial"/>
          <w:sz w:val="24"/>
          <w:szCs w:val="24"/>
        </w:rPr>
        <w:t>l</w:t>
      </w:r>
      <w:r w:rsidR="00D91DDD" w:rsidRPr="00015711">
        <w:rPr>
          <w:rFonts w:ascii="Arial" w:hAnsi="Arial" w:cs="Arial"/>
          <w:sz w:val="24"/>
          <w:szCs w:val="24"/>
        </w:rPr>
        <w:t xml:space="preserve">e caratteristiche e delle </w:t>
      </w:r>
      <w:r w:rsidR="005C78BE" w:rsidRPr="00015711">
        <w:rPr>
          <w:rFonts w:ascii="Arial" w:hAnsi="Arial" w:cs="Arial"/>
          <w:sz w:val="24"/>
          <w:szCs w:val="24"/>
        </w:rPr>
        <w:t>dimension</w:t>
      </w:r>
      <w:r w:rsidR="00D91DDD" w:rsidRPr="00015711">
        <w:rPr>
          <w:rFonts w:ascii="Arial" w:hAnsi="Arial" w:cs="Arial"/>
          <w:sz w:val="24"/>
          <w:szCs w:val="24"/>
        </w:rPr>
        <w:t>i</w:t>
      </w:r>
      <w:r w:rsidR="005C78BE" w:rsidRPr="00015711">
        <w:rPr>
          <w:rFonts w:ascii="Arial" w:hAnsi="Arial" w:cs="Arial"/>
          <w:sz w:val="24"/>
          <w:szCs w:val="24"/>
        </w:rPr>
        <w:t xml:space="preserve"> dell’impresa</w:t>
      </w:r>
      <w:r w:rsidR="00D90E18" w:rsidRPr="00015711">
        <w:rPr>
          <w:rFonts w:ascii="Arial" w:hAnsi="Arial" w:cs="Arial"/>
          <w:sz w:val="24"/>
          <w:szCs w:val="24"/>
        </w:rPr>
        <w:t xml:space="preserve">, anche </w:t>
      </w:r>
      <w:r w:rsidR="00717FC3" w:rsidRPr="00015711">
        <w:rPr>
          <w:rFonts w:ascii="Arial" w:hAnsi="Arial" w:cs="Arial"/>
          <w:sz w:val="24"/>
          <w:szCs w:val="24"/>
        </w:rPr>
        <w:t xml:space="preserve">quando </w:t>
      </w:r>
      <w:r w:rsidR="00AF34D7" w:rsidRPr="00015711">
        <w:rPr>
          <w:rFonts w:ascii="Arial" w:hAnsi="Arial" w:cs="Arial"/>
          <w:sz w:val="24"/>
          <w:szCs w:val="24"/>
        </w:rPr>
        <w:t xml:space="preserve">derivanti da imprese </w:t>
      </w:r>
      <w:r w:rsidR="00F4535C" w:rsidRPr="00015711">
        <w:rPr>
          <w:rFonts w:ascii="Arial" w:hAnsi="Arial" w:cs="Arial"/>
          <w:sz w:val="24"/>
          <w:szCs w:val="24"/>
        </w:rPr>
        <w:t>della catena</w:t>
      </w:r>
      <w:r w:rsidR="00717FC3" w:rsidRPr="00015711">
        <w:rPr>
          <w:rFonts w:ascii="Arial" w:hAnsi="Arial" w:cs="Arial"/>
          <w:sz w:val="24"/>
          <w:szCs w:val="24"/>
        </w:rPr>
        <w:t xml:space="preserve"> del valore</w:t>
      </w:r>
      <w:r w:rsidR="00AF34D7" w:rsidRPr="00015711">
        <w:rPr>
          <w:rFonts w:ascii="Arial" w:hAnsi="Arial" w:cs="Arial"/>
          <w:sz w:val="24"/>
          <w:szCs w:val="24"/>
        </w:rPr>
        <w:t xml:space="preserve">. </w:t>
      </w:r>
    </w:p>
    <w:p w14:paraId="0FE20034" w14:textId="77777777" w:rsidR="007F4603" w:rsidRPr="00015711" w:rsidRDefault="007F4603" w:rsidP="001B2B54">
      <w:pPr>
        <w:jc w:val="both"/>
        <w:rPr>
          <w:rFonts w:ascii="Arial" w:hAnsi="Arial" w:cs="Arial"/>
          <w:b/>
          <w:bCs/>
          <w:sz w:val="24"/>
          <w:szCs w:val="24"/>
        </w:rPr>
      </w:pPr>
      <w:r w:rsidRPr="00015711">
        <w:rPr>
          <w:rFonts w:ascii="Arial" w:hAnsi="Arial" w:cs="Arial"/>
          <w:b/>
          <w:bCs/>
          <w:sz w:val="24"/>
          <w:szCs w:val="24"/>
        </w:rPr>
        <w:t>La presunzione relativa di materialità</w:t>
      </w:r>
    </w:p>
    <w:p w14:paraId="37198024" w14:textId="54EA9796" w:rsidR="001B2B54" w:rsidRPr="00015711" w:rsidRDefault="006D3AF2" w:rsidP="001B2B54">
      <w:pPr>
        <w:jc w:val="both"/>
        <w:rPr>
          <w:rFonts w:ascii="Arial" w:hAnsi="Arial" w:cs="Arial"/>
          <w:sz w:val="24"/>
          <w:szCs w:val="24"/>
        </w:rPr>
      </w:pPr>
      <w:r w:rsidRPr="00015711">
        <w:rPr>
          <w:rFonts w:ascii="Arial" w:hAnsi="Arial" w:cs="Arial"/>
          <w:sz w:val="24"/>
          <w:szCs w:val="24"/>
        </w:rPr>
        <w:t>Il considerando</w:t>
      </w:r>
      <w:r w:rsidR="001B2B54" w:rsidRPr="00015711">
        <w:rPr>
          <w:rFonts w:ascii="Arial" w:hAnsi="Arial" w:cs="Arial"/>
          <w:sz w:val="24"/>
          <w:szCs w:val="24"/>
        </w:rPr>
        <w:t xml:space="preserve"> 45 del</w:t>
      </w:r>
      <w:r w:rsidR="001B690C" w:rsidRPr="00015711">
        <w:rPr>
          <w:rFonts w:ascii="Arial" w:hAnsi="Arial" w:cs="Arial"/>
          <w:sz w:val="24"/>
          <w:szCs w:val="24"/>
        </w:rPr>
        <w:t>la direttiva CSRD</w:t>
      </w:r>
      <w:r w:rsidR="00D42E6E" w:rsidRPr="00015711">
        <w:rPr>
          <w:rFonts w:ascii="Arial" w:hAnsi="Arial" w:cs="Arial"/>
          <w:sz w:val="24"/>
          <w:szCs w:val="24"/>
        </w:rPr>
        <w:t xml:space="preserve">, nel prevedere che gli standard </w:t>
      </w:r>
      <w:r w:rsidR="00E81B38" w:rsidRPr="00015711">
        <w:rPr>
          <w:rFonts w:ascii="Arial" w:hAnsi="Arial" w:cs="Arial"/>
          <w:sz w:val="24"/>
          <w:szCs w:val="24"/>
        </w:rPr>
        <w:t xml:space="preserve">contengano indicazioni sul processo da seguire </w:t>
      </w:r>
      <w:r w:rsidR="005D46BA" w:rsidRPr="00015711">
        <w:rPr>
          <w:rFonts w:ascii="Arial" w:hAnsi="Arial" w:cs="Arial"/>
          <w:sz w:val="24"/>
          <w:szCs w:val="24"/>
        </w:rPr>
        <w:t xml:space="preserve">per identificare le informazioni da fornire, </w:t>
      </w:r>
      <w:r w:rsidR="001B2B54" w:rsidRPr="00015711">
        <w:rPr>
          <w:rFonts w:ascii="Arial" w:hAnsi="Arial" w:cs="Arial"/>
          <w:sz w:val="24"/>
          <w:szCs w:val="24"/>
        </w:rPr>
        <w:t xml:space="preserve">chiarisce che un’impresa dovrebbe essere obbligata a fornire solo quelle informazioni che sono rilevanti per comprendere i suoi impatti su aspetti di sostenibilità e quelle che sono rilevanti per comprendere come gli aspetti di sostenibilità influenzano i rischi e le opportunità dell’impresa stessa. </w:t>
      </w:r>
    </w:p>
    <w:p w14:paraId="670FAB2D" w14:textId="087642C8" w:rsidR="00956FA1" w:rsidRPr="00015711" w:rsidRDefault="001B2B54" w:rsidP="001B2B54">
      <w:pPr>
        <w:jc w:val="both"/>
        <w:rPr>
          <w:rFonts w:ascii="Arial" w:hAnsi="Arial" w:cs="Arial"/>
          <w:sz w:val="24"/>
          <w:szCs w:val="24"/>
        </w:rPr>
      </w:pPr>
      <w:r w:rsidRPr="00015711">
        <w:rPr>
          <w:rFonts w:ascii="Arial" w:hAnsi="Arial" w:cs="Arial"/>
          <w:sz w:val="24"/>
          <w:szCs w:val="24"/>
        </w:rPr>
        <w:t>Lo standard ESRS 1</w:t>
      </w:r>
      <w:r w:rsidR="009F0A57" w:rsidRPr="00015711">
        <w:rPr>
          <w:rFonts w:ascii="Arial" w:hAnsi="Arial" w:cs="Arial"/>
          <w:sz w:val="24"/>
          <w:szCs w:val="24"/>
        </w:rPr>
        <w:t>,</w:t>
      </w:r>
      <w:r w:rsidRPr="00015711">
        <w:rPr>
          <w:rFonts w:ascii="Arial" w:hAnsi="Arial" w:cs="Arial"/>
          <w:sz w:val="24"/>
          <w:szCs w:val="24"/>
        </w:rPr>
        <w:t xml:space="preserve"> al punto 57</w:t>
      </w:r>
      <w:r w:rsidR="009F0A57" w:rsidRPr="00015711">
        <w:rPr>
          <w:rFonts w:ascii="Arial" w:hAnsi="Arial" w:cs="Arial"/>
          <w:sz w:val="24"/>
          <w:szCs w:val="24"/>
        </w:rPr>
        <w:t>,</w:t>
      </w:r>
      <w:r w:rsidRPr="00015711">
        <w:rPr>
          <w:rFonts w:ascii="Arial" w:hAnsi="Arial" w:cs="Arial"/>
          <w:sz w:val="24"/>
          <w:szCs w:val="24"/>
        </w:rPr>
        <w:t xml:space="preserve"> afferma che sia per i </w:t>
      </w:r>
      <w:proofErr w:type="spellStart"/>
      <w:r w:rsidRPr="00015711">
        <w:rPr>
          <w:rFonts w:ascii="Arial" w:hAnsi="Arial" w:cs="Arial"/>
          <w:i/>
          <w:iCs/>
          <w:sz w:val="24"/>
          <w:szCs w:val="24"/>
        </w:rPr>
        <w:t>topic</w:t>
      </w:r>
      <w:proofErr w:type="spellEnd"/>
      <w:r w:rsidRPr="00015711">
        <w:rPr>
          <w:rFonts w:ascii="Arial" w:hAnsi="Arial" w:cs="Arial"/>
          <w:sz w:val="24"/>
          <w:szCs w:val="24"/>
        </w:rPr>
        <w:t xml:space="preserve"> standard generali (</w:t>
      </w:r>
      <w:proofErr w:type="spellStart"/>
      <w:r w:rsidRPr="00015711">
        <w:rPr>
          <w:rFonts w:ascii="Arial" w:hAnsi="Arial" w:cs="Arial"/>
          <w:i/>
          <w:iCs/>
          <w:sz w:val="24"/>
          <w:szCs w:val="24"/>
        </w:rPr>
        <w:t>sector-agnostic</w:t>
      </w:r>
      <w:proofErr w:type="spellEnd"/>
      <w:r w:rsidRPr="00015711">
        <w:rPr>
          <w:rFonts w:ascii="Arial" w:hAnsi="Arial" w:cs="Arial"/>
          <w:sz w:val="24"/>
          <w:szCs w:val="24"/>
        </w:rPr>
        <w:t>) sia per quelli settoriali (</w:t>
      </w:r>
      <w:proofErr w:type="spellStart"/>
      <w:r w:rsidRPr="00015711">
        <w:rPr>
          <w:rFonts w:ascii="Arial" w:hAnsi="Arial" w:cs="Arial"/>
          <w:i/>
          <w:iCs/>
          <w:sz w:val="24"/>
          <w:szCs w:val="24"/>
        </w:rPr>
        <w:t>sector-specific</w:t>
      </w:r>
      <w:proofErr w:type="spellEnd"/>
      <w:r w:rsidRPr="00015711">
        <w:rPr>
          <w:rFonts w:ascii="Arial" w:hAnsi="Arial" w:cs="Arial"/>
          <w:sz w:val="24"/>
          <w:szCs w:val="24"/>
        </w:rPr>
        <w:t xml:space="preserve">) esiste una presunzione di materialità, </w:t>
      </w:r>
      <w:r w:rsidR="00133DC6" w:rsidRPr="00015711">
        <w:rPr>
          <w:rFonts w:ascii="Arial" w:hAnsi="Arial" w:cs="Arial"/>
          <w:sz w:val="24"/>
          <w:szCs w:val="24"/>
        </w:rPr>
        <w:t xml:space="preserve">in base alla quale le </w:t>
      </w:r>
      <w:r w:rsidR="003745B1" w:rsidRPr="00015711">
        <w:rPr>
          <w:rFonts w:ascii="Arial" w:hAnsi="Arial" w:cs="Arial"/>
          <w:sz w:val="24"/>
          <w:szCs w:val="24"/>
        </w:rPr>
        <w:t>informazioni richieste da questi standard si devono considerare materi</w:t>
      </w:r>
      <w:r w:rsidR="00C06514" w:rsidRPr="00015711">
        <w:rPr>
          <w:rFonts w:ascii="Arial" w:hAnsi="Arial" w:cs="Arial"/>
          <w:sz w:val="24"/>
          <w:szCs w:val="24"/>
        </w:rPr>
        <w:t>ali</w:t>
      </w:r>
      <w:r w:rsidR="00B6318C" w:rsidRPr="00015711">
        <w:rPr>
          <w:rFonts w:ascii="Arial" w:hAnsi="Arial" w:cs="Arial"/>
          <w:sz w:val="24"/>
          <w:szCs w:val="24"/>
        </w:rPr>
        <w:t xml:space="preserve"> per tutte le imprese. Si tratta </w:t>
      </w:r>
      <w:r w:rsidR="00097B9F" w:rsidRPr="00015711">
        <w:rPr>
          <w:rFonts w:ascii="Arial" w:hAnsi="Arial" w:cs="Arial"/>
          <w:sz w:val="24"/>
          <w:szCs w:val="24"/>
        </w:rPr>
        <w:t xml:space="preserve">però di una presunzione relativa poiché </w:t>
      </w:r>
      <w:r w:rsidR="007D50C8" w:rsidRPr="00015711">
        <w:rPr>
          <w:rFonts w:ascii="Arial" w:hAnsi="Arial" w:cs="Arial"/>
          <w:sz w:val="24"/>
          <w:szCs w:val="24"/>
        </w:rPr>
        <w:t xml:space="preserve">l’impresa può decidere </w:t>
      </w:r>
      <w:r w:rsidR="00213F6F" w:rsidRPr="00015711">
        <w:rPr>
          <w:rFonts w:ascii="Arial" w:hAnsi="Arial" w:cs="Arial"/>
          <w:sz w:val="24"/>
          <w:szCs w:val="24"/>
        </w:rPr>
        <w:t>di non re</w:t>
      </w:r>
      <w:r w:rsidR="00D30120" w:rsidRPr="00015711">
        <w:rPr>
          <w:rFonts w:ascii="Arial" w:hAnsi="Arial" w:cs="Arial"/>
          <w:sz w:val="24"/>
          <w:szCs w:val="24"/>
        </w:rPr>
        <w:t>ndicon</w:t>
      </w:r>
      <w:r w:rsidR="007D50C8" w:rsidRPr="00015711">
        <w:rPr>
          <w:rFonts w:ascii="Arial" w:hAnsi="Arial" w:cs="Arial"/>
          <w:sz w:val="24"/>
          <w:szCs w:val="24"/>
        </w:rPr>
        <w:t>t</w:t>
      </w:r>
      <w:r w:rsidR="00D30120" w:rsidRPr="00015711">
        <w:rPr>
          <w:rFonts w:ascii="Arial" w:hAnsi="Arial" w:cs="Arial"/>
          <w:sz w:val="24"/>
          <w:szCs w:val="24"/>
        </w:rPr>
        <w:t xml:space="preserve">are </w:t>
      </w:r>
      <w:r w:rsidR="00213F6F" w:rsidRPr="00015711">
        <w:rPr>
          <w:rFonts w:ascii="Arial" w:hAnsi="Arial" w:cs="Arial"/>
          <w:sz w:val="24"/>
          <w:szCs w:val="24"/>
        </w:rPr>
        <w:t>alcune informa</w:t>
      </w:r>
      <w:r w:rsidR="00D30120" w:rsidRPr="00015711">
        <w:rPr>
          <w:rFonts w:ascii="Arial" w:hAnsi="Arial" w:cs="Arial"/>
          <w:sz w:val="24"/>
          <w:szCs w:val="24"/>
        </w:rPr>
        <w:t>z</w:t>
      </w:r>
      <w:r w:rsidR="00213F6F" w:rsidRPr="00015711">
        <w:rPr>
          <w:rFonts w:ascii="Arial" w:hAnsi="Arial" w:cs="Arial"/>
          <w:sz w:val="24"/>
          <w:szCs w:val="24"/>
        </w:rPr>
        <w:t>ioni</w:t>
      </w:r>
      <w:r w:rsidR="00BB008C" w:rsidRPr="00015711">
        <w:rPr>
          <w:rFonts w:ascii="Arial" w:hAnsi="Arial" w:cs="Arial"/>
          <w:sz w:val="24"/>
          <w:szCs w:val="24"/>
        </w:rPr>
        <w:t xml:space="preserve">, </w:t>
      </w:r>
      <w:r w:rsidR="001E5D60" w:rsidRPr="00015711">
        <w:rPr>
          <w:rFonts w:ascii="Arial" w:hAnsi="Arial" w:cs="Arial"/>
          <w:sz w:val="24"/>
          <w:szCs w:val="24"/>
        </w:rPr>
        <w:t xml:space="preserve">confutando la presunzione di materialità, </w:t>
      </w:r>
      <w:r w:rsidR="00BB008C" w:rsidRPr="00015711">
        <w:rPr>
          <w:rFonts w:ascii="Arial" w:hAnsi="Arial" w:cs="Arial"/>
          <w:sz w:val="24"/>
          <w:szCs w:val="24"/>
        </w:rPr>
        <w:t>in base a criteri ragionevoli e sostenibili</w:t>
      </w:r>
      <w:r w:rsidR="00213F6F" w:rsidRPr="00015711">
        <w:rPr>
          <w:rFonts w:ascii="Arial" w:hAnsi="Arial" w:cs="Arial"/>
          <w:sz w:val="24"/>
          <w:szCs w:val="24"/>
        </w:rPr>
        <w:t>.</w:t>
      </w:r>
      <w:r w:rsidR="00D30120" w:rsidRPr="00015711">
        <w:rPr>
          <w:rFonts w:ascii="Arial" w:hAnsi="Arial" w:cs="Arial"/>
          <w:sz w:val="24"/>
          <w:szCs w:val="24"/>
        </w:rPr>
        <w:t xml:space="preserve"> </w:t>
      </w:r>
      <w:r w:rsidRPr="00015711">
        <w:rPr>
          <w:rFonts w:ascii="Arial" w:hAnsi="Arial" w:cs="Arial"/>
          <w:sz w:val="24"/>
          <w:szCs w:val="24"/>
        </w:rPr>
        <w:t xml:space="preserve">Lo standard ESRS 2, al punto 76 </w:t>
      </w:r>
      <w:r w:rsidRPr="00015711">
        <w:rPr>
          <w:rFonts w:ascii="Arial" w:hAnsi="Arial" w:cs="Arial"/>
          <w:i/>
          <w:iCs/>
          <w:sz w:val="24"/>
          <w:szCs w:val="24"/>
        </w:rPr>
        <w:t xml:space="preserve">dell’Application </w:t>
      </w:r>
      <w:proofErr w:type="spellStart"/>
      <w:r w:rsidRPr="00015711">
        <w:rPr>
          <w:rFonts w:ascii="Arial" w:hAnsi="Arial" w:cs="Arial"/>
          <w:i/>
          <w:iCs/>
          <w:sz w:val="24"/>
          <w:szCs w:val="24"/>
        </w:rPr>
        <w:t>guidance</w:t>
      </w:r>
      <w:proofErr w:type="spellEnd"/>
      <w:r w:rsidR="00656B6C" w:rsidRPr="00015711">
        <w:rPr>
          <w:rFonts w:ascii="Arial" w:hAnsi="Arial" w:cs="Arial"/>
          <w:sz w:val="24"/>
          <w:szCs w:val="24"/>
        </w:rPr>
        <w:t>,</w:t>
      </w:r>
      <w:r w:rsidRPr="00015711">
        <w:rPr>
          <w:rFonts w:ascii="Arial" w:hAnsi="Arial" w:cs="Arial"/>
          <w:sz w:val="24"/>
          <w:szCs w:val="24"/>
        </w:rPr>
        <w:t xml:space="preserve"> afferma che la presunzione di materialità sposta sull’impresa l’onere della prova della non materialità. </w:t>
      </w:r>
    </w:p>
    <w:p w14:paraId="68BB3D8E" w14:textId="06C6013E" w:rsidR="00090FF7" w:rsidRPr="00015711" w:rsidRDefault="001B2B54" w:rsidP="001B2B54">
      <w:pPr>
        <w:jc w:val="both"/>
        <w:rPr>
          <w:rFonts w:ascii="Arial" w:eastAsia="Times New Roman" w:hAnsi="Arial" w:cs="Arial"/>
          <w:sz w:val="24"/>
          <w:szCs w:val="24"/>
        </w:rPr>
      </w:pPr>
      <w:r w:rsidRPr="00015711">
        <w:rPr>
          <w:rFonts w:ascii="Arial" w:hAnsi="Arial" w:cs="Arial"/>
          <w:sz w:val="24"/>
          <w:szCs w:val="24"/>
        </w:rPr>
        <w:t xml:space="preserve">Questo </w:t>
      </w:r>
      <w:r w:rsidR="00656B6C" w:rsidRPr="00015711">
        <w:rPr>
          <w:rFonts w:ascii="Arial" w:hAnsi="Arial" w:cs="Arial"/>
          <w:sz w:val="24"/>
          <w:szCs w:val="24"/>
        </w:rPr>
        <w:t xml:space="preserve">approccio </w:t>
      </w:r>
      <w:r w:rsidRPr="00015711">
        <w:rPr>
          <w:rFonts w:ascii="Arial" w:hAnsi="Arial" w:cs="Arial"/>
          <w:sz w:val="24"/>
          <w:szCs w:val="24"/>
        </w:rPr>
        <w:t>se</w:t>
      </w:r>
      <w:r w:rsidR="00656B6C" w:rsidRPr="00015711">
        <w:rPr>
          <w:rFonts w:ascii="Arial" w:hAnsi="Arial" w:cs="Arial"/>
          <w:sz w:val="24"/>
          <w:szCs w:val="24"/>
        </w:rPr>
        <w:t xml:space="preserve">guito dagli standard </w:t>
      </w:r>
      <w:r w:rsidR="00EC5012" w:rsidRPr="00015711">
        <w:rPr>
          <w:rFonts w:ascii="Arial" w:hAnsi="Arial" w:cs="Arial"/>
          <w:sz w:val="24"/>
          <w:szCs w:val="24"/>
        </w:rPr>
        <w:t xml:space="preserve">(che presuppone la </w:t>
      </w:r>
      <w:r w:rsidR="00EE3850" w:rsidRPr="00015711">
        <w:rPr>
          <w:rFonts w:ascii="Arial" w:eastAsia="Times New Roman" w:hAnsi="Arial" w:cs="Arial"/>
          <w:sz w:val="24"/>
          <w:szCs w:val="24"/>
        </w:rPr>
        <w:t>materialità, e quindi l’obbligo di rendicontare gli standard “</w:t>
      </w:r>
      <w:proofErr w:type="spellStart"/>
      <w:r w:rsidR="00EE3850" w:rsidRPr="00015711">
        <w:rPr>
          <w:rFonts w:ascii="Arial" w:eastAsia="Times New Roman" w:hAnsi="Arial" w:cs="Arial"/>
          <w:sz w:val="24"/>
          <w:szCs w:val="24"/>
        </w:rPr>
        <w:t>sector</w:t>
      </w:r>
      <w:proofErr w:type="spellEnd"/>
      <w:r w:rsidR="00EE3850" w:rsidRPr="00015711">
        <w:rPr>
          <w:rFonts w:ascii="Arial" w:eastAsia="Times New Roman" w:hAnsi="Arial" w:cs="Arial"/>
          <w:sz w:val="24"/>
          <w:szCs w:val="24"/>
        </w:rPr>
        <w:t xml:space="preserve"> </w:t>
      </w:r>
      <w:proofErr w:type="spellStart"/>
      <w:r w:rsidR="00EE3850" w:rsidRPr="00015711">
        <w:rPr>
          <w:rFonts w:ascii="Arial" w:eastAsia="Times New Roman" w:hAnsi="Arial" w:cs="Arial"/>
          <w:sz w:val="24"/>
          <w:szCs w:val="24"/>
        </w:rPr>
        <w:t>agnostic</w:t>
      </w:r>
      <w:proofErr w:type="spellEnd"/>
      <w:r w:rsidR="00EE3850" w:rsidRPr="00015711">
        <w:rPr>
          <w:rFonts w:ascii="Arial" w:eastAsia="Times New Roman" w:hAnsi="Arial" w:cs="Arial"/>
          <w:sz w:val="24"/>
          <w:szCs w:val="24"/>
        </w:rPr>
        <w:t>” per tutte le aziende indipendentemente dal loro business e struttura</w:t>
      </w:r>
      <w:r w:rsidR="008F1252" w:rsidRPr="00015711">
        <w:rPr>
          <w:rFonts w:ascii="Arial" w:eastAsia="Times New Roman" w:hAnsi="Arial" w:cs="Arial"/>
          <w:sz w:val="24"/>
          <w:szCs w:val="24"/>
        </w:rPr>
        <w:t xml:space="preserve">) </w:t>
      </w:r>
      <w:r w:rsidR="00317D61" w:rsidRPr="00015711">
        <w:rPr>
          <w:rFonts w:ascii="Arial" w:eastAsia="Times New Roman" w:hAnsi="Arial" w:cs="Arial"/>
          <w:sz w:val="24"/>
          <w:szCs w:val="24"/>
        </w:rPr>
        <w:t xml:space="preserve">non solo </w:t>
      </w:r>
      <w:r w:rsidR="008F1252" w:rsidRPr="00015711">
        <w:rPr>
          <w:rFonts w:ascii="Arial" w:eastAsia="Times New Roman" w:hAnsi="Arial" w:cs="Arial"/>
          <w:sz w:val="24"/>
          <w:szCs w:val="24"/>
        </w:rPr>
        <w:t>appare in contrasto</w:t>
      </w:r>
      <w:r w:rsidR="00317D61" w:rsidRPr="00015711">
        <w:rPr>
          <w:rFonts w:ascii="Arial" w:eastAsia="Times New Roman" w:hAnsi="Arial" w:cs="Arial"/>
          <w:sz w:val="24"/>
          <w:szCs w:val="24"/>
        </w:rPr>
        <w:t xml:space="preserve"> </w:t>
      </w:r>
      <w:r w:rsidR="00EE3850" w:rsidRPr="00015711">
        <w:rPr>
          <w:rFonts w:ascii="Arial" w:eastAsia="Times New Roman" w:hAnsi="Arial" w:cs="Arial"/>
          <w:sz w:val="24"/>
          <w:szCs w:val="24"/>
        </w:rPr>
        <w:t xml:space="preserve">con la natura </w:t>
      </w:r>
      <w:r w:rsidR="00317D61" w:rsidRPr="00015711">
        <w:rPr>
          <w:rFonts w:ascii="Arial" w:eastAsia="Times New Roman" w:hAnsi="Arial" w:cs="Arial"/>
          <w:sz w:val="24"/>
          <w:szCs w:val="24"/>
        </w:rPr>
        <w:t xml:space="preserve">stessa </w:t>
      </w:r>
      <w:r w:rsidR="00EE3850" w:rsidRPr="00015711">
        <w:rPr>
          <w:rFonts w:ascii="Arial" w:eastAsia="Times New Roman" w:hAnsi="Arial" w:cs="Arial"/>
          <w:sz w:val="24"/>
          <w:szCs w:val="24"/>
        </w:rPr>
        <w:t xml:space="preserve">dell’analisi di materialità </w:t>
      </w:r>
      <w:r w:rsidR="005F748A" w:rsidRPr="00015711">
        <w:rPr>
          <w:rFonts w:ascii="Arial" w:eastAsia="Times New Roman" w:hAnsi="Arial" w:cs="Arial"/>
          <w:sz w:val="24"/>
          <w:szCs w:val="24"/>
        </w:rPr>
        <w:t xml:space="preserve">ma non </w:t>
      </w:r>
      <w:r w:rsidR="005F748A" w:rsidRPr="00015711">
        <w:rPr>
          <w:rFonts w:ascii="Arial" w:hAnsi="Arial" w:cs="Arial"/>
          <w:sz w:val="24"/>
          <w:szCs w:val="24"/>
        </w:rPr>
        <w:t>è coerente neppure con l’indicazione del considerando 45 della direttiva</w:t>
      </w:r>
      <w:r w:rsidR="00EE3850" w:rsidRPr="00015711">
        <w:rPr>
          <w:rFonts w:ascii="Arial" w:eastAsia="Times New Roman" w:hAnsi="Arial" w:cs="Arial"/>
          <w:sz w:val="24"/>
          <w:szCs w:val="24"/>
        </w:rPr>
        <w:t>. L’analisi delle tematiche rilevanti deve infatti essere utile a definire quali argomenti rendicontare nel bilancio di sostenibilità, a seconda degli impatti generati o subiti dall’azienda</w:t>
      </w:r>
      <w:r w:rsidR="00F77A1B" w:rsidRPr="00015711">
        <w:rPr>
          <w:rFonts w:ascii="Arial" w:eastAsia="Times New Roman" w:hAnsi="Arial" w:cs="Arial"/>
          <w:sz w:val="24"/>
          <w:szCs w:val="24"/>
        </w:rPr>
        <w:t xml:space="preserve">. </w:t>
      </w:r>
      <w:r w:rsidR="001C629D" w:rsidRPr="00015711">
        <w:rPr>
          <w:rFonts w:ascii="Arial" w:eastAsia="Times New Roman" w:hAnsi="Arial" w:cs="Arial"/>
          <w:sz w:val="24"/>
          <w:szCs w:val="24"/>
        </w:rPr>
        <w:t>L’analisi di “non rilevanza” rischia, infatti, di complicare ulteriormente la rendicontazione, poiché implica inutili monitoraggi e approfondimenti a carico delle imprese. Il problema della “non rilevanza” deve necessariamente essere risolto a monte, semplificando i requisiti informativi degli standard e il livello di coinvolgimento delle imprese che fanno parte della catena del valore.</w:t>
      </w:r>
    </w:p>
    <w:p w14:paraId="7E687A9D" w14:textId="2281CDA7" w:rsidR="00464C4D" w:rsidRPr="00015711" w:rsidRDefault="00F77A1B" w:rsidP="001B2B54">
      <w:pPr>
        <w:jc w:val="both"/>
        <w:rPr>
          <w:rFonts w:ascii="Arial" w:hAnsi="Arial" w:cs="Arial"/>
          <w:sz w:val="24"/>
          <w:szCs w:val="24"/>
        </w:rPr>
      </w:pPr>
      <w:r w:rsidRPr="00015711">
        <w:rPr>
          <w:rFonts w:ascii="Arial" w:eastAsia="Times New Roman" w:hAnsi="Arial" w:cs="Arial"/>
          <w:sz w:val="24"/>
          <w:szCs w:val="24"/>
        </w:rPr>
        <w:t xml:space="preserve">Il considerando 45 della direttiva </w:t>
      </w:r>
      <w:r w:rsidR="000F3831" w:rsidRPr="00015711">
        <w:rPr>
          <w:rFonts w:ascii="Arial" w:eastAsia="Times New Roman" w:hAnsi="Arial" w:cs="Arial"/>
          <w:sz w:val="24"/>
          <w:szCs w:val="24"/>
        </w:rPr>
        <w:t xml:space="preserve">si fonda </w:t>
      </w:r>
      <w:r w:rsidR="00BE17A0" w:rsidRPr="00015711">
        <w:rPr>
          <w:rFonts w:ascii="Arial" w:eastAsia="Times New Roman" w:hAnsi="Arial" w:cs="Arial"/>
          <w:sz w:val="24"/>
          <w:szCs w:val="24"/>
        </w:rPr>
        <w:t xml:space="preserve">sul presupposto </w:t>
      </w:r>
      <w:r w:rsidR="003D3D0E" w:rsidRPr="00015711">
        <w:rPr>
          <w:rFonts w:ascii="Arial" w:hAnsi="Arial" w:cs="Arial"/>
          <w:sz w:val="24"/>
          <w:szCs w:val="24"/>
        </w:rPr>
        <w:t xml:space="preserve">secondo cui </w:t>
      </w:r>
      <w:r w:rsidR="001B2B54" w:rsidRPr="00015711">
        <w:rPr>
          <w:rFonts w:ascii="Arial" w:hAnsi="Arial" w:cs="Arial"/>
          <w:sz w:val="24"/>
          <w:szCs w:val="24"/>
        </w:rPr>
        <w:t xml:space="preserve">l’analisi di materialità dovrebbe servire a identificare che cosa includere nel report, non che cosa sottrarre </w:t>
      </w:r>
      <w:r w:rsidR="001B2B54" w:rsidRPr="00015711">
        <w:rPr>
          <w:rFonts w:ascii="Arial" w:hAnsi="Arial" w:cs="Arial"/>
          <w:sz w:val="24"/>
          <w:szCs w:val="24"/>
        </w:rPr>
        <w:lastRenderedPageBreak/>
        <w:t xml:space="preserve">all’obbligo di </w:t>
      </w:r>
      <w:proofErr w:type="spellStart"/>
      <w:r w:rsidR="001B2B54" w:rsidRPr="00015711">
        <w:rPr>
          <w:rFonts w:ascii="Arial" w:hAnsi="Arial" w:cs="Arial"/>
          <w:i/>
          <w:iCs/>
          <w:sz w:val="24"/>
          <w:szCs w:val="24"/>
        </w:rPr>
        <w:t>disclosure</w:t>
      </w:r>
      <w:proofErr w:type="spellEnd"/>
      <w:r w:rsidR="00CB4FB4" w:rsidRPr="00015711">
        <w:rPr>
          <w:rFonts w:ascii="Arial" w:hAnsi="Arial" w:cs="Arial"/>
          <w:i/>
          <w:iCs/>
          <w:sz w:val="24"/>
          <w:szCs w:val="24"/>
        </w:rPr>
        <w:t xml:space="preserve">. </w:t>
      </w:r>
      <w:r w:rsidR="00CB4FB4" w:rsidRPr="00015711">
        <w:rPr>
          <w:rFonts w:ascii="Arial" w:hAnsi="Arial" w:cs="Arial"/>
          <w:sz w:val="24"/>
          <w:szCs w:val="24"/>
        </w:rPr>
        <w:t xml:space="preserve">È solo con riferimento </w:t>
      </w:r>
      <w:r w:rsidR="00733061" w:rsidRPr="00015711">
        <w:rPr>
          <w:rFonts w:ascii="Arial" w:hAnsi="Arial" w:cs="Arial"/>
          <w:sz w:val="24"/>
          <w:szCs w:val="24"/>
        </w:rPr>
        <w:t xml:space="preserve">alle </w:t>
      </w:r>
      <w:r w:rsidR="001B2B54" w:rsidRPr="00015711">
        <w:rPr>
          <w:rFonts w:ascii="Arial" w:hAnsi="Arial" w:cs="Arial"/>
          <w:sz w:val="24"/>
          <w:szCs w:val="24"/>
        </w:rPr>
        <w:t xml:space="preserve">informazioni </w:t>
      </w:r>
      <w:proofErr w:type="spellStart"/>
      <w:r w:rsidR="001B2B54" w:rsidRPr="00015711">
        <w:rPr>
          <w:rFonts w:ascii="Arial" w:hAnsi="Arial" w:cs="Arial"/>
          <w:i/>
          <w:iCs/>
          <w:sz w:val="24"/>
          <w:szCs w:val="24"/>
        </w:rPr>
        <w:t>sector-specific</w:t>
      </w:r>
      <w:proofErr w:type="spellEnd"/>
      <w:r w:rsidR="001B2B54" w:rsidRPr="00015711">
        <w:rPr>
          <w:rFonts w:ascii="Arial" w:hAnsi="Arial" w:cs="Arial"/>
          <w:sz w:val="24"/>
          <w:szCs w:val="24"/>
        </w:rPr>
        <w:t xml:space="preserve"> </w:t>
      </w:r>
      <w:r w:rsidR="00733061" w:rsidRPr="00015711">
        <w:rPr>
          <w:rFonts w:ascii="Arial" w:hAnsi="Arial" w:cs="Arial"/>
          <w:sz w:val="24"/>
          <w:szCs w:val="24"/>
        </w:rPr>
        <w:t xml:space="preserve">che </w:t>
      </w:r>
      <w:r w:rsidR="001B2B54" w:rsidRPr="00015711">
        <w:rPr>
          <w:rFonts w:ascii="Arial" w:hAnsi="Arial" w:cs="Arial"/>
          <w:sz w:val="24"/>
          <w:szCs w:val="24"/>
        </w:rPr>
        <w:t>si può ragionevolmente presumere la materialità di un’informazione ed esigere una motivazione del contrario</w:t>
      </w:r>
      <w:r w:rsidR="00464C4D" w:rsidRPr="00015711">
        <w:rPr>
          <w:rFonts w:ascii="Arial" w:hAnsi="Arial" w:cs="Arial"/>
          <w:sz w:val="24"/>
          <w:szCs w:val="24"/>
        </w:rPr>
        <w:t xml:space="preserve"> (</w:t>
      </w:r>
      <w:r w:rsidR="001B2B54" w:rsidRPr="00015711">
        <w:rPr>
          <w:rFonts w:ascii="Arial" w:hAnsi="Arial" w:cs="Arial"/>
          <w:sz w:val="24"/>
          <w:szCs w:val="24"/>
        </w:rPr>
        <w:t xml:space="preserve">come </w:t>
      </w:r>
      <w:r w:rsidR="00464C4D" w:rsidRPr="00015711">
        <w:rPr>
          <w:rFonts w:ascii="Arial" w:hAnsi="Arial" w:cs="Arial"/>
          <w:sz w:val="24"/>
          <w:szCs w:val="24"/>
        </w:rPr>
        <w:t xml:space="preserve">del resto </w:t>
      </w:r>
      <w:r w:rsidR="001B2B54" w:rsidRPr="00015711">
        <w:rPr>
          <w:rFonts w:ascii="Arial" w:hAnsi="Arial" w:cs="Arial"/>
          <w:sz w:val="24"/>
          <w:szCs w:val="24"/>
        </w:rPr>
        <w:t>accade negli standard GRI 2021</w:t>
      </w:r>
      <w:r w:rsidR="00464C4D" w:rsidRPr="00015711">
        <w:rPr>
          <w:rFonts w:ascii="Arial" w:hAnsi="Arial" w:cs="Arial"/>
          <w:sz w:val="24"/>
          <w:szCs w:val="24"/>
        </w:rPr>
        <w:t>)</w:t>
      </w:r>
      <w:r w:rsidR="001B2B54" w:rsidRPr="00015711">
        <w:rPr>
          <w:rFonts w:ascii="Arial" w:hAnsi="Arial" w:cs="Arial"/>
          <w:sz w:val="24"/>
          <w:szCs w:val="24"/>
        </w:rPr>
        <w:t xml:space="preserve">. </w:t>
      </w:r>
    </w:p>
    <w:p w14:paraId="61583BC4" w14:textId="77777777" w:rsidR="00E37EF5" w:rsidRPr="00015711" w:rsidRDefault="007C5215" w:rsidP="001B2B54">
      <w:pPr>
        <w:jc w:val="both"/>
        <w:rPr>
          <w:rFonts w:ascii="Arial" w:eastAsia="Times New Roman" w:hAnsi="Arial" w:cs="Arial"/>
          <w:sz w:val="24"/>
          <w:szCs w:val="24"/>
        </w:rPr>
      </w:pPr>
      <w:r w:rsidRPr="00015711">
        <w:rPr>
          <w:rFonts w:ascii="Arial" w:eastAsia="Times New Roman" w:hAnsi="Arial" w:cs="Arial"/>
          <w:sz w:val="24"/>
          <w:szCs w:val="24"/>
        </w:rPr>
        <w:t xml:space="preserve">Il concetto di “presunzione confutabile” non è </w:t>
      </w:r>
      <w:r w:rsidR="00E37EF5" w:rsidRPr="00015711">
        <w:rPr>
          <w:rFonts w:ascii="Arial" w:eastAsia="Times New Roman" w:hAnsi="Arial" w:cs="Arial"/>
          <w:sz w:val="24"/>
          <w:szCs w:val="24"/>
        </w:rPr>
        <w:t xml:space="preserve">inoltre </w:t>
      </w:r>
      <w:r w:rsidRPr="00015711">
        <w:rPr>
          <w:rFonts w:ascii="Arial" w:eastAsia="Times New Roman" w:hAnsi="Arial" w:cs="Arial"/>
          <w:sz w:val="24"/>
          <w:szCs w:val="24"/>
        </w:rPr>
        <w:t xml:space="preserve">chiaro, gli standard dicono solo che l’organizzazione può confutare la presunzione di materialità portando “evidenze ragionevoli e verificabili”. Sarebbe opportuno specificare cosa si intenda per “evidenza”, e quando queste possono essere ritenute ragionevoli e verificabili. Lasciando un così ampio margine si corre il rischio che i bilanci non siano comparabili tra loro. </w:t>
      </w:r>
    </w:p>
    <w:p w14:paraId="3B595CC1" w14:textId="10F9BC33" w:rsidR="001B2B54" w:rsidRPr="00015711" w:rsidRDefault="005E3D80" w:rsidP="001B2B54">
      <w:pPr>
        <w:jc w:val="both"/>
        <w:rPr>
          <w:rFonts w:ascii="Arial" w:hAnsi="Arial" w:cs="Arial"/>
          <w:sz w:val="24"/>
          <w:szCs w:val="24"/>
        </w:rPr>
      </w:pPr>
      <w:r w:rsidRPr="00015711">
        <w:rPr>
          <w:rFonts w:ascii="Arial" w:hAnsi="Arial" w:cs="Arial"/>
          <w:sz w:val="24"/>
          <w:szCs w:val="24"/>
        </w:rPr>
        <w:t>Inoltre, l</w:t>
      </w:r>
      <w:r w:rsidR="001B2B54" w:rsidRPr="00015711">
        <w:rPr>
          <w:rFonts w:ascii="Arial" w:hAnsi="Arial" w:cs="Arial"/>
          <w:sz w:val="24"/>
          <w:szCs w:val="24"/>
        </w:rPr>
        <w:t>o standard ESRS 1</w:t>
      </w:r>
      <w:r w:rsidR="0048768B" w:rsidRPr="00015711">
        <w:rPr>
          <w:rFonts w:ascii="Arial" w:hAnsi="Arial" w:cs="Arial"/>
          <w:sz w:val="24"/>
          <w:szCs w:val="24"/>
        </w:rPr>
        <w:t>,</w:t>
      </w:r>
      <w:r w:rsidR="001B2B54" w:rsidRPr="00015711">
        <w:rPr>
          <w:rFonts w:ascii="Arial" w:hAnsi="Arial" w:cs="Arial"/>
          <w:sz w:val="24"/>
          <w:szCs w:val="24"/>
        </w:rPr>
        <w:t xml:space="preserve"> al punto 58</w:t>
      </w:r>
      <w:r w:rsidR="0048768B" w:rsidRPr="00015711">
        <w:rPr>
          <w:rFonts w:ascii="Arial" w:hAnsi="Arial" w:cs="Arial"/>
          <w:sz w:val="24"/>
          <w:szCs w:val="24"/>
        </w:rPr>
        <w:t>,</w:t>
      </w:r>
      <w:r w:rsidR="001B2B54" w:rsidRPr="00015711">
        <w:rPr>
          <w:rFonts w:ascii="Arial" w:hAnsi="Arial" w:cs="Arial"/>
          <w:sz w:val="24"/>
          <w:szCs w:val="24"/>
        </w:rPr>
        <w:t xml:space="preserve"> afferma che – per poter determinare se un obbligo di </w:t>
      </w:r>
      <w:proofErr w:type="spellStart"/>
      <w:r w:rsidR="001B2B54" w:rsidRPr="00015711">
        <w:rPr>
          <w:rFonts w:ascii="Arial" w:hAnsi="Arial" w:cs="Arial"/>
          <w:i/>
          <w:iCs/>
          <w:sz w:val="24"/>
          <w:szCs w:val="24"/>
        </w:rPr>
        <w:t>disclosure</w:t>
      </w:r>
      <w:proofErr w:type="spellEnd"/>
      <w:r w:rsidR="001B2B54" w:rsidRPr="00015711">
        <w:rPr>
          <w:rFonts w:ascii="Arial" w:hAnsi="Arial" w:cs="Arial"/>
          <w:sz w:val="24"/>
          <w:szCs w:val="24"/>
        </w:rPr>
        <w:t xml:space="preserve"> possa essere assolto affermando la “non materialità per l’impresa” – </w:t>
      </w:r>
      <w:r w:rsidR="008711AC" w:rsidRPr="00015711">
        <w:rPr>
          <w:rFonts w:ascii="Arial" w:hAnsi="Arial" w:cs="Arial"/>
          <w:sz w:val="24"/>
          <w:szCs w:val="24"/>
        </w:rPr>
        <w:t>essa</w:t>
      </w:r>
      <w:r w:rsidR="001B2B54" w:rsidRPr="00015711">
        <w:rPr>
          <w:rFonts w:ascii="Arial" w:hAnsi="Arial" w:cs="Arial"/>
          <w:sz w:val="24"/>
          <w:szCs w:val="24"/>
        </w:rPr>
        <w:t xml:space="preserve"> dovrà stabilire soglie o criteri e darne conto. Lo standard ESRS 2 introduce due requisiti informativi sul processo di materialità</w:t>
      </w:r>
      <w:r w:rsidR="004770CA" w:rsidRPr="00015711">
        <w:rPr>
          <w:rFonts w:ascii="Arial" w:hAnsi="Arial" w:cs="Arial"/>
          <w:sz w:val="24"/>
          <w:szCs w:val="24"/>
        </w:rPr>
        <w:t xml:space="preserve">: </w:t>
      </w:r>
      <w:r w:rsidR="003906C5" w:rsidRPr="00015711">
        <w:rPr>
          <w:rFonts w:ascii="Arial" w:hAnsi="Arial" w:cs="Arial"/>
          <w:sz w:val="24"/>
          <w:szCs w:val="24"/>
        </w:rPr>
        <w:t>descrivere come siano stati identificati i temi materiali (</w:t>
      </w:r>
      <w:r w:rsidR="001B2B54" w:rsidRPr="00015711">
        <w:rPr>
          <w:rFonts w:ascii="Arial" w:hAnsi="Arial" w:cs="Arial"/>
          <w:sz w:val="24"/>
          <w:szCs w:val="24"/>
        </w:rPr>
        <w:t>punto 74</w:t>
      </w:r>
      <w:r w:rsidR="003906C5" w:rsidRPr="00015711">
        <w:rPr>
          <w:rFonts w:ascii="Arial" w:hAnsi="Arial" w:cs="Arial"/>
          <w:sz w:val="24"/>
          <w:szCs w:val="24"/>
        </w:rPr>
        <w:t>); indicare le informazioni ritenute non materiali fornendone le ragioni e indicando la soglia applicata (</w:t>
      </w:r>
      <w:r w:rsidR="001B2B54" w:rsidRPr="00015711">
        <w:rPr>
          <w:rFonts w:ascii="Arial" w:hAnsi="Arial" w:cs="Arial"/>
          <w:sz w:val="24"/>
          <w:szCs w:val="24"/>
        </w:rPr>
        <w:t>punto 76</w:t>
      </w:r>
      <w:r w:rsidR="003906C5" w:rsidRPr="00015711">
        <w:rPr>
          <w:rFonts w:ascii="Arial" w:hAnsi="Arial" w:cs="Arial"/>
          <w:sz w:val="24"/>
          <w:szCs w:val="24"/>
        </w:rPr>
        <w:t>).</w:t>
      </w:r>
      <w:r w:rsidR="001B2B54" w:rsidRPr="00015711">
        <w:rPr>
          <w:rFonts w:ascii="Arial" w:hAnsi="Arial" w:cs="Arial"/>
          <w:sz w:val="24"/>
          <w:szCs w:val="24"/>
        </w:rPr>
        <w:t xml:space="preserve"> </w:t>
      </w:r>
    </w:p>
    <w:p w14:paraId="6E4819F9" w14:textId="59575CFC" w:rsidR="001B2B54" w:rsidRPr="00015711" w:rsidRDefault="001B2B54" w:rsidP="001B2B54">
      <w:pPr>
        <w:jc w:val="both"/>
        <w:rPr>
          <w:rFonts w:ascii="Arial" w:hAnsi="Arial" w:cs="Arial"/>
          <w:sz w:val="24"/>
          <w:szCs w:val="24"/>
        </w:rPr>
      </w:pPr>
      <w:r w:rsidRPr="00015711">
        <w:rPr>
          <w:rFonts w:ascii="Arial" w:hAnsi="Arial" w:cs="Arial"/>
          <w:sz w:val="24"/>
          <w:szCs w:val="24"/>
        </w:rPr>
        <w:t>Non vengono però fornite informazioni di maggior dettaglio su come stabilire una soglia o identificare dei criteri, in assenza delle quali la severità dell’approccio - in base al quale i requisiti informativi sono tutti materiali e pertanto obbligatori - si confronta con la possibilità di rigetto della presunzione di materialità in base a un generico riferimento a “soglie o criteri”, sia pur con richiesta di spiegazione.</w:t>
      </w:r>
      <w:r w:rsidR="00DA4926" w:rsidRPr="00015711">
        <w:rPr>
          <w:rFonts w:ascii="Arial" w:hAnsi="Arial" w:cs="Arial"/>
          <w:sz w:val="24"/>
          <w:szCs w:val="24"/>
        </w:rPr>
        <w:t xml:space="preserve"> Un approccio che, data la genericità dei riferimenti, compromette anche la confrontabilità del set informativo fornito da diverse imprese sulla base di valutazioni fondate su soglie “personalizzate”.</w:t>
      </w:r>
    </w:p>
    <w:p w14:paraId="6A6C8C96" w14:textId="6EE080E3" w:rsidR="001B2B54" w:rsidRPr="00015711" w:rsidRDefault="001B2B54" w:rsidP="001B2B54">
      <w:pPr>
        <w:jc w:val="both"/>
        <w:rPr>
          <w:rFonts w:ascii="Arial" w:hAnsi="Arial" w:cs="Arial"/>
          <w:sz w:val="24"/>
          <w:szCs w:val="24"/>
        </w:rPr>
      </w:pPr>
      <w:r w:rsidRPr="00015711">
        <w:rPr>
          <w:rFonts w:ascii="Arial" w:hAnsi="Arial" w:cs="Arial"/>
          <w:sz w:val="24"/>
          <w:szCs w:val="24"/>
        </w:rPr>
        <w:t xml:space="preserve">La presunzione di materialità dei </w:t>
      </w:r>
      <w:proofErr w:type="spellStart"/>
      <w:r w:rsidRPr="00015711">
        <w:rPr>
          <w:rFonts w:ascii="Arial" w:hAnsi="Arial" w:cs="Arial"/>
          <w:i/>
          <w:iCs/>
          <w:sz w:val="24"/>
          <w:szCs w:val="24"/>
        </w:rPr>
        <w:t>topic</w:t>
      </w:r>
      <w:proofErr w:type="spellEnd"/>
      <w:r w:rsidRPr="00015711">
        <w:rPr>
          <w:rFonts w:ascii="Arial" w:hAnsi="Arial" w:cs="Arial"/>
          <w:i/>
          <w:iCs/>
          <w:sz w:val="24"/>
          <w:szCs w:val="24"/>
        </w:rPr>
        <w:t xml:space="preserve"> </w:t>
      </w:r>
      <w:proofErr w:type="spellStart"/>
      <w:r w:rsidRPr="00015711">
        <w:rPr>
          <w:rFonts w:ascii="Arial" w:hAnsi="Arial" w:cs="Arial"/>
          <w:i/>
          <w:iCs/>
          <w:sz w:val="24"/>
          <w:szCs w:val="24"/>
        </w:rPr>
        <w:t>sector-agnostic</w:t>
      </w:r>
      <w:proofErr w:type="spellEnd"/>
      <w:r w:rsidRPr="00015711">
        <w:rPr>
          <w:rFonts w:ascii="Arial" w:hAnsi="Arial" w:cs="Arial"/>
          <w:sz w:val="24"/>
          <w:szCs w:val="24"/>
        </w:rPr>
        <w:t xml:space="preserve"> e </w:t>
      </w:r>
      <w:proofErr w:type="spellStart"/>
      <w:r w:rsidRPr="00015711">
        <w:rPr>
          <w:rFonts w:ascii="Arial" w:hAnsi="Arial" w:cs="Arial"/>
          <w:i/>
          <w:iCs/>
          <w:sz w:val="24"/>
          <w:szCs w:val="24"/>
        </w:rPr>
        <w:t>sector-specific</w:t>
      </w:r>
      <w:proofErr w:type="spellEnd"/>
      <w:r w:rsidRPr="00015711">
        <w:rPr>
          <w:rFonts w:ascii="Arial" w:hAnsi="Arial" w:cs="Arial"/>
          <w:sz w:val="24"/>
          <w:szCs w:val="24"/>
        </w:rPr>
        <w:t xml:space="preserve"> comporta (ESRS 2, </w:t>
      </w:r>
      <w:r w:rsidRPr="00015711">
        <w:rPr>
          <w:rFonts w:ascii="Arial" w:hAnsi="Arial" w:cs="Arial"/>
          <w:i/>
          <w:iCs/>
          <w:sz w:val="24"/>
          <w:szCs w:val="24"/>
        </w:rPr>
        <w:t xml:space="preserve">Application </w:t>
      </w:r>
      <w:proofErr w:type="spellStart"/>
      <w:r w:rsidRPr="00015711">
        <w:rPr>
          <w:rFonts w:ascii="Arial" w:hAnsi="Arial" w:cs="Arial"/>
          <w:i/>
          <w:iCs/>
          <w:sz w:val="24"/>
          <w:szCs w:val="24"/>
        </w:rPr>
        <w:t>Guidance</w:t>
      </w:r>
      <w:proofErr w:type="spellEnd"/>
      <w:r w:rsidRPr="00015711">
        <w:rPr>
          <w:rFonts w:ascii="Arial" w:hAnsi="Arial" w:cs="Arial"/>
          <w:sz w:val="24"/>
          <w:szCs w:val="24"/>
        </w:rPr>
        <w:t xml:space="preserve"> punto 74) anche un altro rovesciamento logico rispetto alla definizione di materialità, perché induce a impostare l’analisi di materialità in termini di significatività dei requisiti informativi (interi </w:t>
      </w:r>
      <w:proofErr w:type="spellStart"/>
      <w:r w:rsidRPr="00015711">
        <w:rPr>
          <w:rFonts w:ascii="Arial" w:hAnsi="Arial" w:cs="Arial"/>
          <w:sz w:val="24"/>
          <w:szCs w:val="24"/>
        </w:rPr>
        <w:t>topics</w:t>
      </w:r>
      <w:proofErr w:type="spellEnd"/>
      <w:r w:rsidRPr="00015711">
        <w:rPr>
          <w:rFonts w:ascii="Arial" w:hAnsi="Arial" w:cs="Arial"/>
          <w:sz w:val="24"/>
          <w:szCs w:val="24"/>
        </w:rPr>
        <w:t xml:space="preserve"> o sottoinsiemi di informazioni parte dei medesimi) e non, come dovrebbe essere in base allo stesso ESRS 1, in termini di IRO (impatti-rischi-opportunità).</w:t>
      </w:r>
    </w:p>
    <w:p w14:paraId="02877A03" w14:textId="5EF76D20" w:rsidR="00A11FFF" w:rsidRPr="00015711" w:rsidRDefault="00F0174A" w:rsidP="00A11FFF">
      <w:pPr>
        <w:jc w:val="both"/>
        <w:rPr>
          <w:rFonts w:ascii="Arial" w:eastAsia="Times New Roman" w:hAnsi="Arial" w:cs="Arial"/>
          <w:sz w:val="24"/>
          <w:szCs w:val="24"/>
        </w:rPr>
      </w:pPr>
      <w:r w:rsidRPr="00015711">
        <w:rPr>
          <w:rFonts w:ascii="Arial" w:hAnsi="Arial" w:cs="Arial"/>
          <w:sz w:val="24"/>
          <w:szCs w:val="24"/>
        </w:rPr>
        <w:t xml:space="preserve">In conclusione, </w:t>
      </w:r>
      <w:r w:rsidR="00EC3C85" w:rsidRPr="00015711">
        <w:rPr>
          <w:rFonts w:ascii="Arial" w:hAnsi="Arial" w:cs="Arial"/>
          <w:sz w:val="24"/>
          <w:szCs w:val="24"/>
        </w:rPr>
        <w:t xml:space="preserve">si ritiene </w:t>
      </w:r>
      <w:r w:rsidR="002C011A" w:rsidRPr="00015711">
        <w:rPr>
          <w:rFonts w:ascii="Arial" w:hAnsi="Arial" w:cs="Arial"/>
          <w:sz w:val="24"/>
          <w:szCs w:val="24"/>
        </w:rPr>
        <w:t xml:space="preserve">necessario limitare </w:t>
      </w:r>
      <w:r w:rsidR="00281FCB" w:rsidRPr="00015711">
        <w:rPr>
          <w:rFonts w:ascii="Arial" w:hAnsi="Arial" w:cs="Arial"/>
          <w:sz w:val="24"/>
          <w:szCs w:val="24"/>
        </w:rPr>
        <w:t>l</w:t>
      </w:r>
      <w:r w:rsidRPr="00015711">
        <w:rPr>
          <w:rFonts w:ascii="Arial" w:hAnsi="Arial" w:cs="Arial"/>
          <w:sz w:val="24"/>
          <w:szCs w:val="24"/>
        </w:rPr>
        <w:t xml:space="preserve">a presunzione di materialità agli standard </w:t>
      </w:r>
      <w:proofErr w:type="spellStart"/>
      <w:r w:rsidRPr="00015711">
        <w:rPr>
          <w:rFonts w:ascii="Arial" w:hAnsi="Arial" w:cs="Arial"/>
          <w:i/>
          <w:iCs/>
          <w:sz w:val="24"/>
          <w:szCs w:val="24"/>
        </w:rPr>
        <w:t>sector-specific</w:t>
      </w:r>
      <w:proofErr w:type="spellEnd"/>
      <w:r w:rsidR="00CA56FF" w:rsidRPr="00015711">
        <w:rPr>
          <w:rFonts w:ascii="Arial" w:hAnsi="Arial" w:cs="Arial"/>
          <w:sz w:val="24"/>
          <w:szCs w:val="24"/>
        </w:rPr>
        <w:t xml:space="preserve">, allineando la nozione di presunzione confutabile </w:t>
      </w:r>
      <w:r w:rsidR="00A11FFF" w:rsidRPr="00015711">
        <w:rPr>
          <w:rFonts w:ascii="Arial" w:eastAsia="Times New Roman" w:hAnsi="Arial" w:cs="Arial"/>
          <w:sz w:val="24"/>
          <w:szCs w:val="24"/>
        </w:rPr>
        <w:t>a quell</w:t>
      </w:r>
      <w:r w:rsidR="00135DB2" w:rsidRPr="00015711">
        <w:rPr>
          <w:rFonts w:ascii="Arial" w:eastAsia="Times New Roman" w:hAnsi="Arial" w:cs="Arial"/>
          <w:sz w:val="24"/>
          <w:szCs w:val="24"/>
        </w:rPr>
        <w:t>a</w:t>
      </w:r>
      <w:r w:rsidR="00A11FFF" w:rsidRPr="00015711">
        <w:rPr>
          <w:rFonts w:ascii="Arial" w:eastAsia="Times New Roman" w:hAnsi="Arial" w:cs="Arial"/>
          <w:sz w:val="24"/>
          <w:szCs w:val="24"/>
        </w:rPr>
        <w:t xml:space="preserve"> di “omissioni” presente nei GRI Standard</w:t>
      </w:r>
      <w:r w:rsidR="00135DB2" w:rsidRPr="00015711">
        <w:rPr>
          <w:rFonts w:ascii="Arial" w:eastAsia="Times New Roman" w:hAnsi="Arial" w:cs="Arial"/>
          <w:sz w:val="24"/>
          <w:szCs w:val="24"/>
        </w:rPr>
        <w:t xml:space="preserve"> (su cui infra).</w:t>
      </w:r>
    </w:p>
    <w:p w14:paraId="54332445" w14:textId="0C13B33F" w:rsidR="001B2B54" w:rsidRPr="00015711" w:rsidRDefault="001B2B54" w:rsidP="001B2B54">
      <w:pPr>
        <w:jc w:val="both"/>
        <w:rPr>
          <w:rFonts w:ascii="Arial" w:hAnsi="Arial" w:cs="Arial"/>
          <w:b/>
          <w:bCs/>
          <w:sz w:val="24"/>
          <w:szCs w:val="24"/>
        </w:rPr>
      </w:pPr>
      <w:r w:rsidRPr="00015711">
        <w:rPr>
          <w:rFonts w:ascii="Arial" w:hAnsi="Arial" w:cs="Arial"/>
          <w:b/>
          <w:bCs/>
          <w:sz w:val="24"/>
          <w:szCs w:val="24"/>
        </w:rPr>
        <w:t>Informazioni sulle catene del valore</w:t>
      </w:r>
      <w:r w:rsidR="00EB68A9" w:rsidRPr="00015711">
        <w:rPr>
          <w:rFonts w:ascii="Arial" w:hAnsi="Arial" w:cs="Arial"/>
          <w:b/>
          <w:bCs/>
          <w:sz w:val="24"/>
          <w:szCs w:val="24"/>
        </w:rPr>
        <w:t xml:space="preserve"> e consolidate proporzionali</w:t>
      </w:r>
    </w:p>
    <w:p w14:paraId="112CD2BF" w14:textId="77777777" w:rsidR="001B0EC0" w:rsidRPr="00015711" w:rsidRDefault="00F02D2F" w:rsidP="001B2B54">
      <w:pPr>
        <w:jc w:val="both"/>
        <w:rPr>
          <w:rFonts w:ascii="Arial" w:hAnsi="Arial" w:cs="Arial"/>
          <w:sz w:val="24"/>
          <w:szCs w:val="24"/>
        </w:rPr>
      </w:pPr>
      <w:r w:rsidRPr="00015711">
        <w:rPr>
          <w:rFonts w:ascii="Arial" w:hAnsi="Arial" w:cs="Arial"/>
          <w:sz w:val="24"/>
          <w:szCs w:val="24"/>
        </w:rPr>
        <w:t xml:space="preserve">Sicuramente una delle novità più significative della disciplina riguarda </w:t>
      </w:r>
      <w:r w:rsidR="001B0EC0" w:rsidRPr="00015711">
        <w:rPr>
          <w:rFonts w:ascii="Arial" w:hAnsi="Arial" w:cs="Arial"/>
          <w:sz w:val="24"/>
          <w:szCs w:val="24"/>
        </w:rPr>
        <w:t>l’ampliamento delle informazioni da fornire alle catene del valore.</w:t>
      </w:r>
    </w:p>
    <w:p w14:paraId="59FA0BC8" w14:textId="2ED88050" w:rsidR="008E637A" w:rsidRPr="00015711" w:rsidRDefault="00E05CE1" w:rsidP="001B2B54">
      <w:pPr>
        <w:jc w:val="both"/>
        <w:rPr>
          <w:rFonts w:ascii="Arial" w:hAnsi="Arial" w:cs="Arial"/>
          <w:sz w:val="24"/>
          <w:szCs w:val="24"/>
        </w:rPr>
      </w:pPr>
      <w:r w:rsidRPr="00015711">
        <w:rPr>
          <w:rFonts w:ascii="Arial" w:hAnsi="Arial" w:cs="Arial"/>
          <w:sz w:val="24"/>
          <w:szCs w:val="24"/>
        </w:rPr>
        <w:t xml:space="preserve">Lo standard ESRS </w:t>
      </w:r>
      <w:r w:rsidR="003137DE" w:rsidRPr="00015711">
        <w:rPr>
          <w:rFonts w:ascii="Arial" w:hAnsi="Arial" w:cs="Arial"/>
          <w:sz w:val="24"/>
          <w:szCs w:val="24"/>
        </w:rPr>
        <w:t xml:space="preserve">1 stabilisce che il perimetro di rendicontazione </w:t>
      </w:r>
      <w:r w:rsidR="00E30112" w:rsidRPr="00015711">
        <w:rPr>
          <w:rFonts w:ascii="Arial" w:hAnsi="Arial" w:cs="Arial"/>
          <w:sz w:val="24"/>
          <w:szCs w:val="24"/>
        </w:rPr>
        <w:t>comprend</w:t>
      </w:r>
      <w:r w:rsidR="00CB64DA" w:rsidRPr="00015711">
        <w:rPr>
          <w:rFonts w:ascii="Arial" w:hAnsi="Arial" w:cs="Arial"/>
          <w:sz w:val="24"/>
          <w:szCs w:val="24"/>
        </w:rPr>
        <w:t>e</w:t>
      </w:r>
      <w:r w:rsidR="00E30112" w:rsidRPr="00015711">
        <w:rPr>
          <w:rFonts w:ascii="Arial" w:hAnsi="Arial" w:cs="Arial"/>
          <w:sz w:val="24"/>
          <w:szCs w:val="24"/>
        </w:rPr>
        <w:t xml:space="preserve"> il perimetro </w:t>
      </w:r>
      <w:r w:rsidR="006323B5" w:rsidRPr="00015711">
        <w:rPr>
          <w:rFonts w:ascii="Arial" w:hAnsi="Arial" w:cs="Arial"/>
          <w:sz w:val="24"/>
          <w:szCs w:val="24"/>
        </w:rPr>
        <w:t>contabile e</w:t>
      </w:r>
      <w:r w:rsidR="00E30112" w:rsidRPr="00015711">
        <w:rPr>
          <w:rFonts w:ascii="Arial" w:hAnsi="Arial" w:cs="Arial"/>
          <w:sz w:val="24"/>
          <w:szCs w:val="24"/>
        </w:rPr>
        <w:t xml:space="preserve"> le imprese appartenen</w:t>
      </w:r>
      <w:r w:rsidR="006323B5" w:rsidRPr="00015711">
        <w:rPr>
          <w:rFonts w:ascii="Arial" w:hAnsi="Arial" w:cs="Arial"/>
          <w:sz w:val="24"/>
          <w:szCs w:val="24"/>
        </w:rPr>
        <w:t xml:space="preserve">ti alle catene del valore, poste a monte e a valle. </w:t>
      </w:r>
      <w:r w:rsidR="004768F7" w:rsidRPr="00015711">
        <w:rPr>
          <w:rFonts w:ascii="Arial" w:hAnsi="Arial" w:cs="Arial"/>
          <w:sz w:val="24"/>
          <w:szCs w:val="24"/>
        </w:rPr>
        <w:t>In attuazione di questa indicazione, g</w:t>
      </w:r>
      <w:r w:rsidR="001B2B54" w:rsidRPr="00015711">
        <w:rPr>
          <w:rFonts w:ascii="Arial" w:hAnsi="Arial" w:cs="Arial"/>
          <w:sz w:val="24"/>
          <w:szCs w:val="24"/>
        </w:rPr>
        <w:t xml:space="preserve">li standard di rendicontazione </w:t>
      </w:r>
      <w:r w:rsidR="0019470B" w:rsidRPr="00015711">
        <w:rPr>
          <w:rFonts w:ascii="Arial" w:hAnsi="Arial" w:cs="Arial"/>
          <w:sz w:val="24"/>
          <w:szCs w:val="24"/>
        </w:rPr>
        <w:t xml:space="preserve">in tema di governance, ambiente e </w:t>
      </w:r>
      <w:r w:rsidR="008E637A" w:rsidRPr="00015711">
        <w:rPr>
          <w:rFonts w:ascii="Arial" w:hAnsi="Arial" w:cs="Arial"/>
          <w:sz w:val="24"/>
          <w:szCs w:val="24"/>
        </w:rPr>
        <w:t xml:space="preserve">sociale </w:t>
      </w:r>
      <w:r w:rsidR="001B2B54" w:rsidRPr="00015711">
        <w:rPr>
          <w:rFonts w:ascii="Arial" w:hAnsi="Arial" w:cs="Arial"/>
          <w:sz w:val="24"/>
          <w:szCs w:val="24"/>
        </w:rPr>
        <w:t>prevedono in più punti l’obbligo di fornire informazioni non solo con riferimento alla società che redige il report di sostenibilità e al suo gruppo di appartenenza</w:t>
      </w:r>
      <w:r w:rsidR="005D429A" w:rsidRPr="00015711">
        <w:rPr>
          <w:rFonts w:ascii="Arial" w:hAnsi="Arial" w:cs="Arial"/>
          <w:sz w:val="24"/>
          <w:szCs w:val="24"/>
        </w:rPr>
        <w:t xml:space="preserve">, </w:t>
      </w:r>
      <w:r w:rsidR="001B2B54" w:rsidRPr="00015711">
        <w:rPr>
          <w:rFonts w:ascii="Arial" w:hAnsi="Arial" w:cs="Arial"/>
          <w:sz w:val="24"/>
          <w:szCs w:val="24"/>
        </w:rPr>
        <w:t>ma anche con riguardo alla catena di valore dell’impresa</w:t>
      </w:r>
      <w:r w:rsidR="008E637A" w:rsidRPr="00015711">
        <w:rPr>
          <w:rFonts w:ascii="Arial" w:hAnsi="Arial" w:cs="Arial"/>
          <w:sz w:val="24"/>
          <w:szCs w:val="24"/>
        </w:rPr>
        <w:t>.</w:t>
      </w:r>
    </w:p>
    <w:p w14:paraId="1061D8F3" w14:textId="39330CE4" w:rsidR="001B2B54" w:rsidRPr="00015711" w:rsidRDefault="001B2B54" w:rsidP="001B2B54">
      <w:pPr>
        <w:jc w:val="both"/>
        <w:rPr>
          <w:rFonts w:ascii="Arial" w:hAnsi="Arial" w:cs="Arial"/>
          <w:sz w:val="24"/>
          <w:szCs w:val="24"/>
        </w:rPr>
      </w:pPr>
      <w:r w:rsidRPr="00015711">
        <w:rPr>
          <w:rFonts w:ascii="Arial" w:hAnsi="Arial" w:cs="Arial"/>
          <w:sz w:val="24"/>
          <w:szCs w:val="24"/>
        </w:rPr>
        <w:t xml:space="preserve">Il fondamento </w:t>
      </w:r>
      <w:r w:rsidR="00AE3FBE" w:rsidRPr="00015711">
        <w:rPr>
          <w:rFonts w:ascii="Arial" w:hAnsi="Arial" w:cs="Arial"/>
          <w:sz w:val="24"/>
          <w:szCs w:val="24"/>
        </w:rPr>
        <w:t xml:space="preserve">giuridico </w:t>
      </w:r>
      <w:r w:rsidRPr="00015711">
        <w:rPr>
          <w:rFonts w:ascii="Arial" w:hAnsi="Arial" w:cs="Arial"/>
          <w:sz w:val="24"/>
          <w:szCs w:val="24"/>
        </w:rPr>
        <w:t>di quest</w:t>
      </w:r>
      <w:r w:rsidR="009C36A0" w:rsidRPr="00015711">
        <w:rPr>
          <w:rFonts w:ascii="Arial" w:hAnsi="Arial" w:cs="Arial"/>
          <w:sz w:val="24"/>
          <w:szCs w:val="24"/>
        </w:rPr>
        <w:t xml:space="preserve">o </w:t>
      </w:r>
      <w:r w:rsidR="00AE3FBE" w:rsidRPr="00015711">
        <w:rPr>
          <w:rFonts w:ascii="Arial" w:hAnsi="Arial" w:cs="Arial"/>
          <w:sz w:val="24"/>
          <w:szCs w:val="24"/>
        </w:rPr>
        <w:t>perimetro ampio di rendicontazione</w:t>
      </w:r>
      <w:r w:rsidR="009C36A0" w:rsidRPr="00015711">
        <w:rPr>
          <w:rFonts w:ascii="Arial" w:hAnsi="Arial" w:cs="Arial"/>
          <w:sz w:val="24"/>
          <w:szCs w:val="24"/>
        </w:rPr>
        <w:t xml:space="preserve"> è da ricondurre </w:t>
      </w:r>
      <w:r w:rsidR="00D42BFE" w:rsidRPr="00015711">
        <w:rPr>
          <w:rFonts w:ascii="Arial" w:hAnsi="Arial" w:cs="Arial"/>
          <w:sz w:val="24"/>
          <w:szCs w:val="24"/>
        </w:rPr>
        <w:t xml:space="preserve">alla previsione </w:t>
      </w:r>
      <w:r w:rsidR="008666CE" w:rsidRPr="00015711">
        <w:rPr>
          <w:rFonts w:ascii="Arial" w:hAnsi="Arial" w:cs="Arial"/>
          <w:sz w:val="24"/>
          <w:szCs w:val="24"/>
        </w:rPr>
        <w:t xml:space="preserve">della direttiva CSRD secondo cui </w:t>
      </w:r>
      <w:r w:rsidRPr="00015711">
        <w:rPr>
          <w:rFonts w:ascii="Arial" w:hAnsi="Arial" w:cs="Arial"/>
          <w:sz w:val="24"/>
          <w:szCs w:val="24"/>
        </w:rPr>
        <w:t>le informazioni</w:t>
      </w:r>
      <w:r w:rsidR="00C61ACF" w:rsidRPr="00015711">
        <w:rPr>
          <w:rFonts w:ascii="Arial" w:hAnsi="Arial" w:cs="Arial"/>
          <w:sz w:val="24"/>
          <w:szCs w:val="24"/>
        </w:rPr>
        <w:t xml:space="preserve"> possono </w:t>
      </w:r>
      <w:r w:rsidRPr="00015711">
        <w:rPr>
          <w:rFonts w:ascii="Arial" w:hAnsi="Arial" w:cs="Arial"/>
          <w:sz w:val="24"/>
          <w:szCs w:val="24"/>
        </w:rPr>
        <w:t>riguard</w:t>
      </w:r>
      <w:r w:rsidR="005C1555" w:rsidRPr="00015711">
        <w:rPr>
          <w:rFonts w:ascii="Arial" w:hAnsi="Arial" w:cs="Arial"/>
          <w:sz w:val="24"/>
          <w:szCs w:val="24"/>
        </w:rPr>
        <w:t>are</w:t>
      </w:r>
      <w:r w:rsidRPr="00015711">
        <w:rPr>
          <w:rFonts w:ascii="Arial" w:hAnsi="Arial" w:cs="Arial"/>
          <w:sz w:val="24"/>
          <w:szCs w:val="24"/>
        </w:rPr>
        <w:t xml:space="preserve"> la catena del valore dell’impresa</w:t>
      </w:r>
      <w:r w:rsidR="00913C85" w:rsidRPr="00015711">
        <w:rPr>
          <w:rFonts w:ascii="Arial" w:hAnsi="Arial" w:cs="Arial"/>
          <w:sz w:val="24"/>
          <w:szCs w:val="24"/>
        </w:rPr>
        <w:t>, se applicabile. Accanto a questa indicazione</w:t>
      </w:r>
      <w:r w:rsidR="00CF2610" w:rsidRPr="00015711">
        <w:rPr>
          <w:rFonts w:ascii="Arial" w:hAnsi="Arial" w:cs="Arial"/>
          <w:sz w:val="24"/>
          <w:szCs w:val="24"/>
        </w:rPr>
        <w:t>,</w:t>
      </w:r>
      <w:r w:rsidR="00913C85" w:rsidRPr="00015711">
        <w:rPr>
          <w:rFonts w:ascii="Arial" w:hAnsi="Arial" w:cs="Arial"/>
          <w:sz w:val="24"/>
          <w:szCs w:val="24"/>
        </w:rPr>
        <w:t xml:space="preserve"> però</w:t>
      </w:r>
      <w:r w:rsidR="00CF2610" w:rsidRPr="00015711">
        <w:rPr>
          <w:rFonts w:ascii="Arial" w:hAnsi="Arial" w:cs="Arial"/>
          <w:sz w:val="24"/>
          <w:szCs w:val="24"/>
        </w:rPr>
        <w:t>,</w:t>
      </w:r>
      <w:r w:rsidR="00913C85" w:rsidRPr="00015711">
        <w:rPr>
          <w:rFonts w:ascii="Arial" w:hAnsi="Arial" w:cs="Arial"/>
          <w:sz w:val="24"/>
          <w:szCs w:val="24"/>
        </w:rPr>
        <w:t xml:space="preserve"> </w:t>
      </w:r>
      <w:r w:rsidRPr="00015711">
        <w:rPr>
          <w:rFonts w:ascii="Arial" w:hAnsi="Arial" w:cs="Arial"/>
          <w:sz w:val="24"/>
          <w:szCs w:val="24"/>
        </w:rPr>
        <w:t xml:space="preserve">la </w:t>
      </w:r>
      <w:r w:rsidR="00CF2610" w:rsidRPr="00015711">
        <w:rPr>
          <w:rFonts w:ascii="Arial" w:hAnsi="Arial" w:cs="Arial"/>
          <w:sz w:val="24"/>
          <w:szCs w:val="24"/>
        </w:rPr>
        <w:t xml:space="preserve">stessa </w:t>
      </w:r>
      <w:r w:rsidRPr="00015711">
        <w:rPr>
          <w:rFonts w:ascii="Arial" w:hAnsi="Arial" w:cs="Arial"/>
          <w:sz w:val="24"/>
          <w:szCs w:val="24"/>
        </w:rPr>
        <w:t xml:space="preserve">direttiva </w:t>
      </w:r>
      <w:r w:rsidRPr="00015711">
        <w:rPr>
          <w:rFonts w:ascii="Arial" w:hAnsi="Arial" w:cs="Arial"/>
          <w:sz w:val="24"/>
          <w:szCs w:val="24"/>
        </w:rPr>
        <w:lastRenderedPageBreak/>
        <w:t xml:space="preserve">si preoccupa di precisare che gli standard non solo devono evitare oneri sproporzionati per le imprese ma devono tener conto delle difficoltà nella raccolta di informazioni presso la catena di valore. </w:t>
      </w:r>
      <w:r w:rsidR="0093225B" w:rsidRPr="00015711">
        <w:rPr>
          <w:rFonts w:ascii="Arial" w:hAnsi="Arial" w:cs="Arial"/>
          <w:sz w:val="24"/>
          <w:szCs w:val="24"/>
        </w:rPr>
        <w:t>Le informazioni sul</w:t>
      </w:r>
      <w:r w:rsidR="006A51CB" w:rsidRPr="00015711">
        <w:rPr>
          <w:rFonts w:ascii="Arial" w:hAnsi="Arial" w:cs="Arial"/>
          <w:sz w:val="24"/>
          <w:szCs w:val="24"/>
        </w:rPr>
        <w:t>l</w:t>
      </w:r>
      <w:r w:rsidR="0093225B" w:rsidRPr="00015711">
        <w:rPr>
          <w:rFonts w:ascii="Arial" w:hAnsi="Arial" w:cs="Arial"/>
          <w:sz w:val="24"/>
          <w:szCs w:val="24"/>
        </w:rPr>
        <w:t xml:space="preserve">a catena del valore </w:t>
      </w:r>
      <w:r w:rsidR="0003098F" w:rsidRPr="00015711">
        <w:rPr>
          <w:rFonts w:ascii="Arial" w:hAnsi="Arial" w:cs="Arial"/>
          <w:sz w:val="24"/>
          <w:szCs w:val="24"/>
        </w:rPr>
        <w:t>devono essere proporzionate e pertinenti alla scala e alla complessità de</w:t>
      </w:r>
      <w:r w:rsidR="00DA4926" w:rsidRPr="00015711">
        <w:rPr>
          <w:rFonts w:ascii="Arial" w:hAnsi="Arial" w:cs="Arial"/>
          <w:sz w:val="24"/>
          <w:szCs w:val="24"/>
        </w:rPr>
        <w:t>l</w:t>
      </w:r>
      <w:r w:rsidR="0003098F" w:rsidRPr="00015711">
        <w:rPr>
          <w:rFonts w:ascii="Arial" w:hAnsi="Arial" w:cs="Arial"/>
          <w:sz w:val="24"/>
          <w:szCs w:val="24"/>
        </w:rPr>
        <w:t>le attività.</w:t>
      </w:r>
      <w:r w:rsidR="00624C80" w:rsidRPr="00015711">
        <w:rPr>
          <w:rFonts w:ascii="Arial" w:hAnsi="Arial" w:cs="Arial"/>
          <w:sz w:val="24"/>
          <w:szCs w:val="24"/>
        </w:rPr>
        <w:t xml:space="preserve"> Vi è inoltre da considerare che</w:t>
      </w:r>
      <w:r w:rsidR="00CB3688" w:rsidRPr="00015711">
        <w:rPr>
          <w:rFonts w:ascii="Arial" w:hAnsi="Arial" w:cs="Arial"/>
          <w:sz w:val="24"/>
          <w:szCs w:val="24"/>
        </w:rPr>
        <w:t>, sempre per la direttiva,</w:t>
      </w:r>
      <w:r w:rsidR="00624C80" w:rsidRPr="00015711">
        <w:rPr>
          <w:rFonts w:ascii="Arial" w:hAnsi="Arial" w:cs="Arial"/>
          <w:sz w:val="24"/>
          <w:szCs w:val="24"/>
        </w:rPr>
        <w:t xml:space="preserve"> le informazioni </w:t>
      </w:r>
      <w:r w:rsidR="00A42895" w:rsidRPr="00015711">
        <w:rPr>
          <w:rFonts w:ascii="Arial" w:hAnsi="Arial" w:cs="Arial"/>
          <w:sz w:val="24"/>
          <w:szCs w:val="24"/>
        </w:rPr>
        <w:t xml:space="preserve">devono </w:t>
      </w:r>
      <w:r w:rsidR="002707C4" w:rsidRPr="00015711">
        <w:rPr>
          <w:rFonts w:ascii="Arial" w:hAnsi="Arial" w:cs="Arial"/>
          <w:sz w:val="24"/>
          <w:szCs w:val="24"/>
        </w:rPr>
        <w:t xml:space="preserve">essere di qualità e quindi fondate </w:t>
      </w:r>
      <w:r w:rsidR="007519BD" w:rsidRPr="00015711">
        <w:rPr>
          <w:rFonts w:ascii="Arial" w:hAnsi="Arial" w:cs="Arial"/>
          <w:sz w:val="24"/>
          <w:szCs w:val="24"/>
        </w:rPr>
        <w:t>su dati solidi e metodologie consolidate e affidabili.</w:t>
      </w:r>
    </w:p>
    <w:p w14:paraId="5BD1F955" w14:textId="58428C15" w:rsidR="00F3007A" w:rsidRPr="00015711" w:rsidRDefault="008B22AF" w:rsidP="001B2B54">
      <w:pPr>
        <w:jc w:val="both"/>
        <w:rPr>
          <w:rFonts w:ascii="Arial" w:hAnsi="Arial" w:cs="Arial"/>
          <w:sz w:val="24"/>
          <w:szCs w:val="24"/>
        </w:rPr>
      </w:pPr>
      <w:r w:rsidRPr="00015711">
        <w:rPr>
          <w:rFonts w:ascii="Arial" w:hAnsi="Arial" w:cs="Arial"/>
          <w:sz w:val="24"/>
          <w:szCs w:val="24"/>
        </w:rPr>
        <w:t>Lo stesso standard ESRS1, a</w:t>
      </w:r>
      <w:r w:rsidR="005C5F9E" w:rsidRPr="00015711">
        <w:rPr>
          <w:rFonts w:ascii="Arial" w:hAnsi="Arial" w:cs="Arial"/>
          <w:sz w:val="24"/>
          <w:szCs w:val="24"/>
        </w:rPr>
        <w:t xml:space="preserve">l </w:t>
      </w:r>
      <w:r w:rsidRPr="00015711">
        <w:rPr>
          <w:rFonts w:ascii="Arial" w:hAnsi="Arial" w:cs="Arial"/>
          <w:sz w:val="24"/>
          <w:szCs w:val="24"/>
        </w:rPr>
        <w:t>paragraf</w:t>
      </w:r>
      <w:r w:rsidR="005C5F9E" w:rsidRPr="00015711">
        <w:rPr>
          <w:rFonts w:ascii="Arial" w:hAnsi="Arial" w:cs="Arial"/>
          <w:sz w:val="24"/>
          <w:szCs w:val="24"/>
        </w:rPr>
        <w:t xml:space="preserve">o 64, </w:t>
      </w:r>
      <w:r w:rsidR="00CF20FB" w:rsidRPr="00015711">
        <w:rPr>
          <w:rFonts w:ascii="Arial" w:hAnsi="Arial" w:cs="Arial"/>
          <w:sz w:val="24"/>
          <w:szCs w:val="24"/>
        </w:rPr>
        <w:t xml:space="preserve">afferma che </w:t>
      </w:r>
      <w:r w:rsidR="00667518" w:rsidRPr="00015711">
        <w:rPr>
          <w:rFonts w:ascii="Arial" w:hAnsi="Arial" w:cs="Arial"/>
          <w:sz w:val="24"/>
          <w:szCs w:val="24"/>
        </w:rPr>
        <w:t xml:space="preserve">il perimetro </w:t>
      </w:r>
      <w:r w:rsidR="007A7351" w:rsidRPr="00015711">
        <w:rPr>
          <w:rFonts w:ascii="Arial" w:hAnsi="Arial" w:cs="Arial"/>
          <w:sz w:val="24"/>
          <w:szCs w:val="24"/>
        </w:rPr>
        <w:t>di rendicon</w:t>
      </w:r>
      <w:r w:rsidR="00C45308" w:rsidRPr="00015711">
        <w:rPr>
          <w:rFonts w:ascii="Arial" w:hAnsi="Arial" w:cs="Arial"/>
          <w:sz w:val="24"/>
          <w:szCs w:val="24"/>
        </w:rPr>
        <w:t xml:space="preserve">tazione </w:t>
      </w:r>
      <w:r w:rsidR="009B1E51" w:rsidRPr="00015711">
        <w:rPr>
          <w:rFonts w:ascii="Arial" w:hAnsi="Arial" w:cs="Arial"/>
          <w:sz w:val="24"/>
          <w:szCs w:val="24"/>
        </w:rPr>
        <w:t>è ampliato rispetto a quello contabile</w:t>
      </w:r>
      <w:r w:rsidR="00832A70" w:rsidRPr="00015711">
        <w:rPr>
          <w:rFonts w:ascii="Arial" w:hAnsi="Arial" w:cs="Arial"/>
          <w:sz w:val="24"/>
          <w:szCs w:val="24"/>
        </w:rPr>
        <w:t xml:space="preserve"> quando l’integ</w:t>
      </w:r>
      <w:r w:rsidR="004D23D8" w:rsidRPr="00015711">
        <w:rPr>
          <w:rFonts w:ascii="Arial" w:hAnsi="Arial" w:cs="Arial"/>
          <w:sz w:val="24"/>
          <w:szCs w:val="24"/>
        </w:rPr>
        <w:t>r</w:t>
      </w:r>
      <w:r w:rsidR="00832A70" w:rsidRPr="00015711">
        <w:rPr>
          <w:rFonts w:ascii="Arial" w:hAnsi="Arial" w:cs="Arial"/>
          <w:sz w:val="24"/>
          <w:szCs w:val="24"/>
        </w:rPr>
        <w:t>azione</w:t>
      </w:r>
      <w:r w:rsidR="004D23D8" w:rsidRPr="00015711">
        <w:rPr>
          <w:rFonts w:ascii="Arial" w:hAnsi="Arial" w:cs="Arial"/>
          <w:sz w:val="24"/>
          <w:szCs w:val="24"/>
        </w:rPr>
        <w:t xml:space="preserve"> delle </w:t>
      </w:r>
      <w:r w:rsidR="007A0386" w:rsidRPr="00015711">
        <w:rPr>
          <w:rFonts w:ascii="Arial" w:hAnsi="Arial" w:cs="Arial"/>
          <w:sz w:val="24"/>
          <w:szCs w:val="24"/>
        </w:rPr>
        <w:t xml:space="preserve">informazioni </w:t>
      </w:r>
      <w:r w:rsidR="006442C7" w:rsidRPr="00015711">
        <w:rPr>
          <w:rFonts w:ascii="Arial" w:hAnsi="Arial" w:cs="Arial"/>
          <w:sz w:val="24"/>
          <w:szCs w:val="24"/>
        </w:rPr>
        <w:t xml:space="preserve">su impatti, rischi e opportunità è necessaria </w:t>
      </w:r>
      <w:r w:rsidR="007F2A68" w:rsidRPr="00015711">
        <w:rPr>
          <w:rFonts w:ascii="Arial" w:hAnsi="Arial" w:cs="Arial"/>
          <w:sz w:val="24"/>
          <w:szCs w:val="24"/>
        </w:rPr>
        <w:t xml:space="preserve">per permettere agli utilizzatori </w:t>
      </w:r>
      <w:r w:rsidR="00C81345" w:rsidRPr="00015711">
        <w:rPr>
          <w:rFonts w:ascii="Arial" w:hAnsi="Arial" w:cs="Arial"/>
          <w:sz w:val="24"/>
          <w:szCs w:val="24"/>
        </w:rPr>
        <w:t xml:space="preserve">di comprendere gli impatti, </w:t>
      </w:r>
      <w:r w:rsidR="00563868" w:rsidRPr="00015711">
        <w:rPr>
          <w:rFonts w:ascii="Arial" w:hAnsi="Arial" w:cs="Arial"/>
          <w:sz w:val="24"/>
          <w:szCs w:val="24"/>
        </w:rPr>
        <w:t>rischi, opportunità dell’impresa.</w:t>
      </w:r>
    </w:p>
    <w:p w14:paraId="7DA515C2" w14:textId="77777777" w:rsidR="00B80C60" w:rsidRPr="00015711" w:rsidRDefault="00FE763C" w:rsidP="001B2B54">
      <w:pPr>
        <w:jc w:val="both"/>
        <w:rPr>
          <w:rFonts w:ascii="Arial" w:hAnsi="Arial" w:cs="Arial"/>
          <w:sz w:val="24"/>
          <w:szCs w:val="24"/>
        </w:rPr>
      </w:pPr>
      <w:r w:rsidRPr="00015711">
        <w:rPr>
          <w:rFonts w:ascii="Arial" w:hAnsi="Arial" w:cs="Arial"/>
          <w:sz w:val="24"/>
          <w:szCs w:val="24"/>
        </w:rPr>
        <w:t xml:space="preserve">Appare assolutamente necessario </w:t>
      </w:r>
      <w:r w:rsidR="00E95195" w:rsidRPr="00015711">
        <w:rPr>
          <w:rFonts w:ascii="Arial" w:hAnsi="Arial" w:cs="Arial"/>
          <w:sz w:val="24"/>
          <w:szCs w:val="24"/>
        </w:rPr>
        <w:t>formulare in modo più preciso le informazioni sulla cate</w:t>
      </w:r>
      <w:r w:rsidR="00820D02" w:rsidRPr="00015711">
        <w:rPr>
          <w:rFonts w:ascii="Arial" w:hAnsi="Arial" w:cs="Arial"/>
          <w:sz w:val="24"/>
          <w:szCs w:val="24"/>
        </w:rPr>
        <w:t>n</w:t>
      </w:r>
      <w:r w:rsidR="00E95195" w:rsidRPr="00015711">
        <w:rPr>
          <w:rFonts w:ascii="Arial" w:hAnsi="Arial" w:cs="Arial"/>
          <w:sz w:val="24"/>
          <w:szCs w:val="24"/>
        </w:rPr>
        <w:t xml:space="preserve">a del valore, </w:t>
      </w:r>
      <w:r w:rsidR="00135CBA" w:rsidRPr="00015711">
        <w:rPr>
          <w:rFonts w:ascii="Arial" w:hAnsi="Arial" w:cs="Arial"/>
          <w:sz w:val="24"/>
          <w:szCs w:val="24"/>
        </w:rPr>
        <w:t xml:space="preserve">mettendo in maggior rilievo i </w:t>
      </w:r>
      <w:r w:rsidR="00B80C60" w:rsidRPr="00015711">
        <w:rPr>
          <w:rFonts w:ascii="Arial" w:hAnsi="Arial" w:cs="Arial"/>
          <w:sz w:val="24"/>
          <w:szCs w:val="24"/>
        </w:rPr>
        <w:t>profili testuali appena indicati.</w:t>
      </w:r>
    </w:p>
    <w:p w14:paraId="29A86015" w14:textId="19856F52" w:rsidR="00B822C0" w:rsidRPr="00015711" w:rsidRDefault="006704B2" w:rsidP="001B2B54">
      <w:pPr>
        <w:jc w:val="both"/>
        <w:rPr>
          <w:rFonts w:ascii="Arial" w:hAnsi="Arial" w:cs="Arial"/>
          <w:sz w:val="24"/>
          <w:szCs w:val="24"/>
        </w:rPr>
      </w:pPr>
      <w:r w:rsidRPr="00015711">
        <w:rPr>
          <w:rFonts w:ascii="Arial" w:hAnsi="Arial" w:cs="Arial"/>
          <w:sz w:val="24"/>
          <w:szCs w:val="24"/>
        </w:rPr>
        <w:t xml:space="preserve">L’ampliamento del perimetro di rendicontazione alla catena del valore si giustifica quando si tratti di informazioni necessarie per comprendere l’impatto esterno e interno dell’impresa sulle questioni di sostenibilità. </w:t>
      </w:r>
    </w:p>
    <w:p w14:paraId="0B99766B" w14:textId="42BF40DF" w:rsidR="00104572" w:rsidRPr="00015711" w:rsidRDefault="006704B2" w:rsidP="001B2B54">
      <w:pPr>
        <w:jc w:val="both"/>
        <w:rPr>
          <w:rFonts w:ascii="Arial" w:hAnsi="Arial" w:cs="Arial"/>
          <w:sz w:val="24"/>
          <w:szCs w:val="24"/>
        </w:rPr>
      </w:pPr>
      <w:r w:rsidRPr="00015711">
        <w:rPr>
          <w:rFonts w:ascii="Arial" w:hAnsi="Arial" w:cs="Arial"/>
          <w:sz w:val="24"/>
          <w:szCs w:val="24"/>
        </w:rPr>
        <w:t xml:space="preserve">Questo comporta </w:t>
      </w:r>
      <w:r w:rsidR="00F82ADC" w:rsidRPr="00015711">
        <w:rPr>
          <w:rFonts w:ascii="Arial" w:hAnsi="Arial" w:cs="Arial"/>
          <w:sz w:val="24"/>
          <w:szCs w:val="24"/>
        </w:rPr>
        <w:t xml:space="preserve">anche </w:t>
      </w:r>
      <w:r w:rsidR="00B822C0" w:rsidRPr="00015711">
        <w:rPr>
          <w:rFonts w:ascii="Arial" w:hAnsi="Arial" w:cs="Arial"/>
          <w:sz w:val="24"/>
          <w:szCs w:val="24"/>
        </w:rPr>
        <w:t xml:space="preserve">una più puntuale </w:t>
      </w:r>
      <w:r w:rsidR="005031C3" w:rsidRPr="00015711">
        <w:rPr>
          <w:rFonts w:ascii="Arial" w:hAnsi="Arial" w:cs="Arial"/>
          <w:sz w:val="24"/>
          <w:szCs w:val="24"/>
        </w:rPr>
        <w:t xml:space="preserve">definizione di imprese appartenenti alla </w:t>
      </w:r>
      <w:r w:rsidR="00104572" w:rsidRPr="00015711">
        <w:rPr>
          <w:rFonts w:ascii="Arial" w:hAnsi="Arial" w:cs="Arial"/>
          <w:sz w:val="24"/>
          <w:szCs w:val="24"/>
        </w:rPr>
        <w:t>catena del valore</w:t>
      </w:r>
      <w:r w:rsidR="007B1DA1" w:rsidRPr="00015711">
        <w:rPr>
          <w:rFonts w:ascii="Arial" w:hAnsi="Arial" w:cs="Arial"/>
          <w:sz w:val="24"/>
          <w:szCs w:val="24"/>
        </w:rPr>
        <w:t xml:space="preserve">. Tale </w:t>
      </w:r>
      <w:r w:rsidR="00481AB1" w:rsidRPr="00015711">
        <w:rPr>
          <w:rFonts w:ascii="Arial" w:hAnsi="Arial" w:cs="Arial"/>
          <w:sz w:val="24"/>
          <w:szCs w:val="24"/>
        </w:rPr>
        <w:t xml:space="preserve">nozione </w:t>
      </w:r>
      <w:r w:rsidR="007B1DA1" w:rsidRPr="00015711">
        <w:rPr>
          <w:rFonts w:ascii="Arial" w:hAnsi="Arial" w:cs="Arial"/>
          <w:sz w:val="24"/>
          <w:szCs w:val="24"/>
        </w:rPr>
        <w:t>dovrebbe</w:t>
      </w:r>
      <w:r w:rsidR="008C7A6C" w:rsidRPr="00015711">
        <w:rPr>
          <w:rFonts w:ascii="Arial" w:hAnsi="Arial" w:cs="Arial"/>
          <w:sz w:val="24"/>
          <w:szCs w:val="24"/>
        </w:rPr>
        <w:t xml:space="preserve"> essere allineata con quella della proposta di direttiva </w:t>
      </w:r>
      <w:r w:rsidR="00AD530B" w:rsidRPr="00015711">
        <w:rPr>
          <w:rFonts w:ascii="Arial" w:hAnsi="Arial" w:cs="Arial"/>
          <w:sz w:val="24"/>
          <w:szCs w:val="24"/>
        </w:rPr>
        <w:t>sui doveri di diligenza a fini di sostenibilità (</w:t>
      </w:r>
      <w:r w:rsidR="009B2E79" w:rsidRPr="00015711">
        <w:rPr>
          <w:rFonts w:ascii="Arial" w:hAnsi="Arial" w:cs="Arial"/>
          <w:sz w:val="24"/>
          <w:szCs w:val="24"/>
        </w:rPr>
        <w:t xml:space="preserve">proposta 23 febbraio 2022 </w:t>
      </w:r>
      <w:proofErr w:type="gramStart"/>
      <w:r w:rsidR="009B2E79" w:rsidRPr="00015711">
        <w:rPr>
          <w:rFonts w:ascii="Arial" w:hAnsi="Arial" w:cs="Arial"/>
          <w:sz w:val="24"/>
          <w:szCs w:val="24"/>
        </w:rPr>
        <w:t>COM(</w:t>
      </w:r>
      <w:proofErr w:type="gramEnd"/>
      <w:r w:rsidR="009B2E79" w:rsidRPr="00015711">
        <w:rPr>
          <w:rFonts w:ascii="Arial" w:hAnsi="Arial" w:cs="Arial"/>
          <w:sz w:val="24"/>
          <w:szCs w:val="24"/>
        </w:rPr>
        <w:t>2022) 71)</w:t>
      </w:r>
      <w:r w:rsidR="005D429A" w:rsidRPr="00015711">
        <w:rPr>
          <w:rFonts w:ascii="Arial" w:hAnsi="Arial" w:cs="Arial"/>
          <w:sz w:val="24"/>
          <w:szCs w:val="24"/>
        </w:rPr>
        <w:t>,</w:t>
      </w:r>
      <w:r w:rsidR="0097102A" w:rsidRPr="00015711">
        <w:rPr>
          <w:rFonts w:ascii="Arial" w:hAnsi="Arial" w:cs="Arial"/>
          <w:sz w:val="24"/>
          <w:szCs w:val="24"/>
        </w:rPr>
        <w:t xml:space="preserve"> che comprende nella catena del valore i rapporti rilevanti e stabili nel tempo.</w:t>
      </w:r>
      <w:r w:rsidR="007B1DA1" w:rsidRPr="00015711">
        <w:rPr>
          <w:rFonts w:ascii="Arial" w:hAnsi="Arial" w:cs="Arial"/>
          <w:sz w:val="24"/>
          <w:szCs w:val="24"/>
        </w:rPr>
        <w:t xml:space="preserve"> </w:t>
      </w:r>
    </w:p>
    <w:p w14:paraId="19C0D3EF" w14:textId="559A2675" w:rsidR="00F82ADC" w:rsidRPr="00015711" w:rsidRDefault="00F82ADC" w:rsidP="001B2B54">
      <w:pPr>
        <w:jc w:val="both"/>
        <w:rPr>
          <w:rFonts w:ascii="Arial" w:hAnsi="Arial" w:cs="Arial"/>
          <w:sz w:val="24"/>
          <w:szCs w:val="24"/>
        </w:rPr>
      </w:pPr>
      <w:r w:rsidRPr="00015711">
        <w:rPr>
          <w:rFonts w:ascii="Arial" w:hAnsi="Arial" w:cs="Arial"/>
          <w:sz w:val="24"/>
          <w:szCs w:val="24"/>
        </w:rPr>
        <w:t xml:space="preserve">Le imprese della catena del valore da considerare </w:t>
      </w:r>
      <w:r w:rsidR="00227A1D" w:rsidRPr="00015711">
        <w:rPr>
          <w:rFonts w:ascii="Arial" w:hAnsi="Arial" w:cs="Arial"/>
          <w:sz w:val="24"/>
          <w:szCs w:val="24"/>
        </w:rPr>
        <w:t xml:space="preserve">sono quindi quelle che hanno rapporti rilevanti e stabili nel tempo con l’impresa </w:t>
      </w:r>
      <w:r w:rsidR="00AB2052" w:rsidRPr="00015711">
        <w:rPr>
          <w:rFonts w:ascii="Arial" w:hAnsi="Arial" w:cs="Arial"/>
          <w:sz w:val="24"/>
          <w:szCs w:val="24"/>
        </w:rPr>
        <w:t>che redige il Report di sostenibilità</w:t>
      </w:r>
      <w:r w:rsidR="00210D74" w:rsidRPr="00015711">
        <w:rPr>
          <w:rFonts w:ascii="Arial" w:hAnsi="Arial" w:cs="Arial"/>
          <w:sz w:val="24"/>
          <w:szCs w:val="24"/>
        </w:rPr>
        <w:t xml:space="preserve"> </w:t>
      </w:r>
      <w:r w:rsidR="009536DD" w:rsidRPr="00015711">
        <w:rPr>
          <w:rFonts w:ascii="Arial" w:hAnsi="Arial" w:cs="Arial"/>
          <w:sz w:val="24"/>
          <w:szCs w:val="24"/>
        </w:rPr>
        <w:t>di cui</w:t>
      </w:r>
      <w:r w:rsidR="00210D74" w:rsidRPr="00015711">
        <w:rPr>
          <w:rFonts w:ascii="Arial" w:hAnsi="Arial" w:cs="Arial"/>
          <w:sz w:val="24"/>
          <w:szCs w:val="24"/>
        </w:rPr>
        <w:t>, sulla base di un’analisi di materialità</w:t>
      </w:r>
      <w:r w:rsidR="009536DD" w:rsidRPr="00015711">
        <w:rPr>
          <w:rFonts w:ascii="Arial" w:hAnsi="Arial" w:cs="Arial"/>
          <w:sz w:val="24"/>
          <w:szCs w:val="24"/>
        </w:rPr>
        <w:t xml:space="preserve">, si devono considerare le informazioni </w:t>
      </w:r>
      <w:r w:rsidR="00D5158F" w:rsidRPr="00015711">
        <w:rPr>
          <w:rFonts w:ascii="Arial" w:hAnsi="Arial" w:cs="Arial"/>
          <w:sz w:val="24"/>
          <w:szCs w:val="24"/>
        </w:rPr>
        <w:t>per comprendere gli impatti, rischi, opportunità dell’impresa</w:t>
      </w:r>
      <w:r w:rsidR="008E356A" w:rsidRPr="00015711">
        <w:rPr>
          <w:rFonts w:ascii="Arial" w:hAnsi="Arial" w:cs="Arial"/>
          <w:sz w:val="24"/>
          <w:szCs w:val="24"/>
        </w:rPr>
        <w:t>.</w:t>
      </w:r>
      <w:r w:rsidR="009536DD" w:rsidRPr="00015711">
        <w:rPr>
          <w:rFonts w:ascii="Arial" w:hAnsi="Arial" w:cs="Arial"/>
          <w:sz w:val="24"/>
          <w:szCs w:val="24"/>
        </w:rPr>
        <w:t xml:space="preserve"> </w:t>
      </w:r>
    </w:p>
    <w:p w14:paraId="7E375C6D" w14:textId="5D47CA6E" w:rsidR="007845B9" w:rsidRPr="00015711" w:rsidRDefault="001B2B54" w:rsidP="001B2B54">
      <w:pPr>
        <w:jc w:val="both"/>
        <w:rPr>
          <w:rFonts w:ascii="Arial" w:hAnsi="Arial" w:cs="Arial"/>
          <w:sz w:val="24"/>
          <w:szCs w:val="24"/>
        </w:rPr>
      </w:pPr>
      <w:r w:rsidRPr="00015711">
        <w:rPr>
          <w:rFonts w:ascii="Arial" w:hAnsi="Arial" w:cs="Arial"/>
          <w:sz w:val="24"/>
          <w:szCs w:val="24"/>
        </w:rPr>
        <w:t xml:space="preserve">Inoltre, le informazioni sulla catena del valore, per loro natura, sono informazioni non disponibili per le imprese che potrebbero essere difficilmente reperibili anche </w:t>
      </w:r>
      <w:r w:rsidR="005C4C5C" w:rsidRPr="00015711">
        <w:rPr>
          <w:rFonts w:ascii="Arial" w:hAnsi="Arial" w:cs="Arial"/>
          <w:sz w:val="24"/>
          <w:szCs w:val="24"/>
        </w:rPr>
        <w:t xml:space="preserve">in </w:t>
      </w:r>
      <w:proofErr w:type="spellStart"/>
      <w:r w:rsidR="005C4C5C" w:rsidRPr="00015711">
        <w:rPr>
          <w:rFonts w:ascii="Arial" w:hAnsi="Arial" w:cs="Arial"/>
          <w:sz w:val="24"/>
          <w:szCs w:val="24"/>
        </w:rPr>
        <w:t>presneza</w:t>
      </w:r>
      <w:proofErr w:type="spellEnd"/>
      <w:r w:rsidRPr="00015711">
        <w:rPr>
          <w:rFonts w:ascii="Arial" w:hAnsi="Arial" w:cs="Arial"/>
          <w:sz w:val="24"/>
          <w:szCs w:val="24"/>
        </w:rPr>
        <w:t xml:space="preserve"> di accordi di collaborazione (si pensi al caso delle società che utilizzano una fitta rete di fornitori di piccole-medie dimensioni).</w:t>
      </w:r>
      <w:r w:rsidR="00793DC3" w:rsidRPr="00015711">
        <w:rPr>
          <w:rFonts w:ascii="Arial" w:hAnsi="Arial" w:cs="Arial"/>
          <w:sz w:val="24"/>
          <w:szCs w:val="24"/>
        </w:rPr>
        <w:t xml:space="preserve"> </w:t>
      </w:r>
      <w:r w:rsidR="00DA4926" w:rsidRPr="00015711">
        <w:rPr>
          <w:rFonts w:ascii="Arial" w:hAnsi="Arial" w:cs="Arial"/>
          <w:sz w:val="24"/>
          <w:szCs w:val="24"/>
        </w:rPr>
        <w:t>La difficoltà deriva, inoltre, dall’assenza di strumenti normativi che mettano l’impresa tenuta alla rendicontazione di sostenibilità nella condizione di poter “pretendere” informazioni accurate, solide e attendibili dalla catena del valore.</w:t>
      </w:r>
    </w:p>
    <w:p w14:paraId="1275DE5F" w14:textId="77777777" w:rsidR="007845B9" w:rsidRPr="00015711" w:rsidRDefault="007845B9" w:rsidP="007845B9">
      <w:pPr>
        <w:jc w:val="both"/>
        <w:rPr>
          <w:rFonts w:ascii="Arial" w:hAnsi="Arial" w:cs="Arial"/>
          <w:sz w:val="24"/>
          <w:szCs w:val="24"/>
        </w:rPr>
      </w:pPr>
      <w:r w:rsidRPr="00015711">
        <w:rPr>
          <w:rFonts w:ascii="Arial" w:hAnsi="Arial" w:cs="Arial"/>
          <w:sz w:val="24"/>
          <w:szCs w:val="24"/>
        </w:rPr>
        <w:t xml:space="preserve">Quando quindi le imprese possono fare affidamento su metodologie consolidate che consentano di stimare in modo attendibile determinati valori propri di controparti della catena del valore, senza necessità di richiedere dati (si pensi allo scope 3 del GHG </w:t>
      </w:r>
      <w:proofErr w:type="spellStart"/>
      <w:r w:rsidRPr="00015711">
        <w:rPr>
          <w:rFonts w:ascii="Arial" w:hAnsi="Arial" w:cs="Arial"/>
          <w:sz w:val="24"/>
          <w:szCs w:val="24"/>
        </w:rPr>
        <w:t>Protocol</w:t>
      </w:r>
      <w:proofErr w:type="spellEnd"/>
      <w:r w:rsidRPr="00015711">
        <w:rPr>
          <w:rFonts w:ascii="Arial" w:hAnsi="Arial" w:cs="Arial"/>
          <w:sz w:val="24"/>
          <w:szCs w:val="24"/>
        </w:rPr>
        <w:t xml:space="preserve">), l’ampliamento del perimetro di rendicontazione conduce a informazioni di qualità. </w:t>
      </w:r>
    </w:p>
    <w:p w14:paraId="4EE09E87" w14:textId="5C28883D" w:rsidR="007845B9" w:rsidRPr="00015711" w:rsidRDefault="007845B9" w:rsidP="007845B9">
      <w:pPr>
        <w:jc w:val="both"/>
        <w:rPr>
          <w:rFonts w:ascii="Arial" w:hAnsi="Arial" w:cs="Arial"/>
          <w:sz w:val="24"/>
          <w:szCs w:val="24"/>
        </w:rPr>
      </w:pPr>
      <w:r w:rsidRPr="00015711">
        <w:rPr>
          <w:rFonts w:ascii="Arial" w:hAnsi="Arial" w:cs="Arial"/>
          <w:sz w:val="24"/>
          <w:szCs w:val="24"/>
        </w:rPr>
        <w:t>Quando invece le informazioni riferite alla catena del valore non sono disponibili, pur avendo l’impresa posto in essere le attività funzionali al reperimento delle informazioni, e non sussistono metriche consolidate di stima</w:t>
      </w:r>
      <w:r w:rsidR="00F709FD" w:rsidRPr="00015711">
        <w:rPr>
          <w:rFonts w:ascii="Arial" w:hAnsi="Arial" w:cs="Arial"/>
          <w:sz w:val="24"/>
          <w:szCs w:val="24"/>
        </w:rPr>
        <w:t>,</w:t>
      </w:r>
      <w:r w:rsidRPr="00015711">
        <w:rPr>
          <w:rFonts w:ascii="Arial" w:hAnsi="Arial" w:cs="Arial"/>
          <w:sz w:val="24"/>
          <w:szCs w:val="24"/>
        </w:rPr>
        <w:t xml:space="preserve"> si dovrebbe consentire all’impresa di omettere l’informazione. In questi casi, infatti</w:t>
      </w:r>
      <w:r w:rsidR="00561F16" w:rsidRPr="00015711">
        <w:rPr>
          <w:rFonts w:ascii="Arial" w:hAnsi="Arial" w:cs="Arial"/>
          <w:sz w:val="24"/>
          <w:szCs w:val="24"/>
        </w:rPr>
        <w:t xml:space="preserve">, le informazioni prodotte </w:t>
      </w:r>
      <w:r w:rsidR="00BD1A9E" w:rsidRPr="00015711">
        <w:rPr>
          <w:rFonts w:ascii="Arial" w:hAnsi="Arial" w:cs="Arial"/>
          <w:sz w:val="24"/>
          <w:szCs w:val="24"/>
        </w:rPr>
        <w:t xml:space="preserve">potrebbero </w:t>
      </w:r>
      <w:r w:rsidR="00561F16" w:rsidRPr="00015711">
        <w:rPr>
          <w:rFonts w:ascii="Arial" w:hAnsi="Arial" w:cs="Arial"/>
          <w:sz w:val="24"/>
          <w:szCs w:val="24"/>
        </w:rPr>
        <w:t xml:space="preserve">non </w:t>
      </w:r>
      <w:r w:rsidR="00BD1A9E" w:rsidRPr="00015711">
        <w:rPr>
          <w:rFonts w:ascii="Arial" w:hAnsi="Arial" w:cs="Arial"/>
          <w:sz w:val="24"/>
          <w:szCs w:val="24"/>
        </w:rPr>
        <w:t>essere</w:t>
      </w:r>
      <w:r w:rsidR="00561F16" w:rsidRPr="00015711">
        <w:rPr>
          <w:rFonts w:ascii="Arial" w:hAnsi="Arial" w:cs="Arial"/>
          <w:sz w:val="24"/>
          <w:szCs w:val="24"/>
        </w:rPr>
        <w:t xml:space="preserve"> in linea con il criterio di qualità.</w:t>
      </w:r>
    </w:p>
    <w:p w14:paraId="366D1267" w14:textId="783D0A11" w:rsidR="007A2C18" w:rsidRPr="00015711" w:rsidRDefault="001B2B54" w:rsidP="007A2C18">
      <w:pPr>
        <w:jc w:val="both"/>
        <w:rPr>
          <w:rFonts w:ascii="Arial" w:hAnsi="Arial" w:cs="Arial"/>
          <w:sz w:val="24"/>
          <w:szCs w:val="24"/>
        </w:rPr>
      </w:pPr>
      <w:r w:rsidRPr="00015711">
        <w:rPr>
          <w:rFonts w:ascii="Arial" w:hAnsi="Arial" w:cs="Arial"/>
          <w:sz w:val="24"/>
          <w:szCs w:val="24"/>
        </w:rPr>
        <w:t>Inoltre, lo standard ESRS 1 dovrebbe esplicitamente recepire l’indicazione del testo definito (giugno 2022) della direttiva, in base al quale</w:t>
      </w:r>
      <w:r w:rsidR="00793DC3" w:rsidRPr="00015711">
        <w:rPr>
          <w:rFonts w:ascii="Arial" w:hAnsi="Arial" w:cs="Arial"/>
          <w:sz w:val="24"/>
          <w:szCs w:val="24"/>
        </w:rPr>
        <w:t xml:space="preserve">: </w:t>
      </w:r>
      <w:r w:rsidR="009D16C7" w:rsidRPr="00015711">
        <w:rPr>
          <w:rFonts w:ascii="Arial" w:hAnsi="Arial" w:cs="Arial"/>
          <w:sz w:val="24"/>
          <w:szCs w:val="24"/>
        </w:rPr>
        <w:t>a</w:t>
      </w:r>
      <w:r w:rsidRPr="00015711">
        <w:rPr>
          <w:rFonts w:ascii="Arial" w:hAnsi="Arial" w:cs="Arial"/>
          <w:sz w:val="24"/>
          <w:szCs w:val="24"/>
        </w:rPr>
        <w:t>) le richieste di informazioni devono essere proporzionate alla complessità delle attività e alle capacità delle imprese nella catena del valore, in particolare di quelle non soggette a obblighi di reporting</w:t>
      </w:r>
      <w:r w:rsidR="009D16C7" w:rsidRPr="00015711">
        <w:rPr>
          <w:rFonts w:ascii="Arial" w:hAnsi="Arial" w:cs="Arial"/>
          <w:sz w:val="24"/>
          <w:szCs w:val="24"/>
        </w:rPr>
        <w:t>; b</w:t>
      </w:r>
      <w:r w:rsidRPr="00015711">
        <w:rPr>
          <w:rFonts w:ascii="Arial" w:hAnsi="Arial" w:cs="Arial"/>
          <w:sz w:val="24"/>
          <w:szCs w:val="24"/>
        </w:rPr>
        <w:t xml:space="preserve">) gli standard non </w:t>
      </w:r>
      <w:r w:rsidRPr="00015711">
        <w:rPr>
          <w:rFonts w:ascii="Arial" w:hAnsi="Arial" w:cs="Arial"/>
          <w:sz w:val="24"/>
          <w:szCs w:val="24"/>
        </w:rPr>
        <w:lastRenderedPageBreak/>
        <w:t>devono imporre richieste di informazioni nella catena del valore che eccedano quelle previste per le PMI</w:t>
      </w:r>
      <w:r w:rsidR="00BE6D12" w:rsidRPr="00015711">
        <w:rPr>
          <w:rFonts w:ascii="Arial" w:hAnsi="Arial" w:cs="Arial"/>
          <w:sz w:val="24"/>
          <w:szCs w:val="24"/>
        </w:rPr>
        <w:t xml:space="preserve"> (che imporrebbe di attendere l</w:t>
      </w:r>
      <w:r w:rsidR="00DA2AE6" w:rsidRPr="00015711">
        <w:rPr>
          <w:rFonts w:ascii="Arial" w:hAnsi="Arial" w:cs="Arial"/>
          <w:sz w:val="24"/>
          <w:szCs w:val="24"/>
        </w:rPr>
        <w:t>’adozione degli standard per le PMI)</w:t>
      </w:r>
      <w:r w:rsidRPr="00015711">
        <w:rPr>
          <w:rFonts w:ascii="Arial" w:hAnsi="Arial" w:cs="Arial"/>
          <w:sz w:val="24"/>
          <w:szCs w:val="24"/>
        </w:rPr>
        <w:t xml:space="preserve">. </w:t>
      </w:r>
      <w:r w:rsidR="00A801B2" w:rsidRPr="00015711">
        <w:rPr>
          <w:rFonts w:ascii="Arial" w:hAnsi="Arial" w:cs="Arial"/>
          <w:sz w:val="24"/>
          <w:szCs w:val="24"/>
        </w:rPr>
        <w:t xml:space="preserve">A mero titolo esemplificativo, basti pensare che in materia di </w:t>
      </w:r>
      <w:proofErr w:type="spellStart"/>
      <w:r w:rsidR="00A801B2" w:rsidRPr="00015711">
        <w:rPr>
          <w:rFonts w:ascii="Arial" w:hAnsi="Arial" w:cs="Arial"/>
          <w:sz w:val="24"/>
          <w:szCs w:val="24"/>
        </w:rPr>
        <w:t>permitting</w:t>
      </w:r>
      <w:proofErr w:type="spellEnd"/>
      <w:r w:rsidR="00A801B2" w:rsidRPr="00015711">
        <w:rPr>
          <w:rFonts w:ascii="Arial" w:hAnsi="Arial" w:cs="Arial"/>
          <w:sz w:val="24"/>
          <w:szCs w:val="24"/>
        </w:rPr>
        <w:t xml:space="preserve"> ambientale – che costituisce il presupposto informativo per esercitare attività che possono avere un determinato impatto ambientale – gli oneri previsti si differenziano profondamente a seconda della dimensione di impresa. Tale scelta deriva direttamente dal legislatore europeo che, nel prendere in considerazione il criterio della giusta proporzionalità, opera, di fatto, quel bilanciamento che si chiede venga replicato anche nell’elaborazione degli standard in esame.</w:t>
      </w:r>
    </w:p>
    <w:p w14:paraId="00EAD9B4" w14:textId="08E47C37" w:rsidR="00E0131F" w:rsidRPr="00015711" w:rsidRDefault="007A2C18" w:rsidP="007A2C18">
      <w:pPr>
        <w:jc w:val="both"/>
        <w:rPr>
          <w:rFonts w:ascii="Arial" w:hAnsi="Arial" w:cs="Arial"/>
          <w:sz w:val="24"/>
          <w:szCs w:val="24"/>
        </w:rPr>
      </w:pPr>
      <w:r w:rsidRPr="00015711">
        <w:rPr>
          <w:rFonts w:ascii="Arial" w:eastAsia="Times New Roman" w:hAnsi="Arial" w:cs="Arial"/>
          <w:sz w:val="24"/>
          <w:szCs w:val="24"/>
        </w:rPr>
        <w:t>Vi è infine da sott</w:t>
      </w:r>
      <w:r w:rsidR="00CE4187" w:rsidRPr="00015711">
        <w:rPr>
          <w:rFonts w:ascii="Arial" w:eastAsia="Times New Roman" w:hAnsi="Arial" w:cs="Arial"/>
          <w:sz w:val="24"/>
          <w:szCs w:val="24"/>
        </w:rPr>
        <w:t>olineare come l</w:t>
      </w:r>
      <w:r w:rsidR="00E0131F" w:rsidRPr="00015711">
        <w:rPr>
          <w:rFonts w:ascii="Arial" w:eastAsia="Times New Roman" w:hAnsi="Arial" w:cs="Arial"/>
          <w:sz w:val="24"/>
          <w:szCs w:val="24"/>
        </w:rPr>
        <w:t xml:space="preserve">e entità contabilizzate con il metodo del consolidamento proporzionale sono considerate dagli standard parte del perimetro per la quota consolidata. Questo significa che tutte le partecipate anche con meno del 50% di partecipazioni dovranno consolidarsi per quella quota. Questa richiesta va oltre a quanto previsto dalla </w:t>
      </w:r>
      <w:r w:rsidR="00CE4187" w:rsidRPr="00015711">
        <w:rPr>
          <w:rFonts w:ascii="Arial" w:eastAsia="Times New Roman" w:hAnsi="Arial" w:cs="Arial"/>
          <w:sz w:val="24"/>
          <w:szCs w:val="24"/>
        </w:rPr>
        <w:t>direttiva</w:t>
      </w:r>
      <w:r w:rsidR="00E0131F" w:rsidRPr="00015711">
        <w:rPr>
          <w:rFonts w:ascii="Arial" w:eastAsia="Times New Roman" w:hAnsi="Arial" w:cs="Arial"/>
          <w:sz w:val="24"/>
          <w:szCs w:val="24"/>
        </w:rPr>
        <w:t xml:space="preserve"> e, inoltre, attualmente i reporting di sostenibilità non comprendono informazioni riguardanti le partecipazioni di minoranza. </w:t>
      </w:r>
      <w:r w:rsidR="00CE4187" w:rsidRPr="00015711">
        <w:rPr>
          <w:rFonts w:ascii="Arial" w:eastAsia="Times New Roman" w:hAnsi="Arial" w:cs="Arial"/>
          <w:sz w:val="24"/>
          <w:szCs w:val="24"/>
        </w:rPr>
        <w:t>Ap</w:t>
      </w:r>
      <w:r w:rsidR="00EB68A9" w:rsidRPr="00015711">
        <w:rPr>
          <w:rFonts w:ascii="Arial" w:eastAsia="Times New Roman" w:hAnsi="Arial" w:cs="Arial"/>
          <w:sz w:val="24"/>
          <w:szCs w:val="24"/>
        </w:rPr>
        <w:t xml:space="preserve">pare opportuno </w:t>
      </w:r>
      <w:r w:rsidR="00E0131F" w:rsidRPr="00015711">
        <w:rPr>
          <w:rFonts w:ascii="Arial" w:eastAsia="Times New Roman" w:hAnsi="Arial" w:cs="Arial"/>
          <w:sz w:val="24"/>
          <w:szCs w:val="24"/>
        </w:rPr>
        <w:t xml:space="preserve">eliminare </w:t>
      </w:r>
      <w:r w:rsidR="00EB68A9" w:rsidRPr="00015711">
        <w:rPr>
          <w:rFonts w:ascii="Arial" w:eastAsia="Times New Roman" w:hAnsi="Arial" w:cs="Arial"/>
          <w:sz w:val="24"/>
          <w:szCs w:val="24"/>
        </w:rPr>
        <w:t>questa</w:t>
      </w:r>
      <w:r w:rsidR="00E0131F" w:rsidRPr="00015711">
        <w:rPr>
          <w:rFonts w:ascii="Arial" w:eastAsia="Times New Roman" w:hAnsi="Arial" w:cs="Arial"/>
          <w:sz w:val="24"/>
          <w:szCs w:val="24"/>
        </w:rPr>
        <w:t xml:space="preserve"> richiesta.</w:t>
      </w:r>
    </w:p>
    <w:p w14:paraId="6479A0EB" w14:textId="77777777" w:rsidR="00D84B6D" w:rsidRPr="00015711" w:rsidRDefault="00D84B6D" w:rsidP="00D84B6D">
      <w:pPr>
        <w:jc w:val="both"/>
        <w:rPr>
          <w:rFonts w:ascii="Arial" w:hAnsi="Arial" w:cs="Arial"/>
          <w:b/>
          <w:bCs/>
          <w:sz w:val="24"/>
          <w:szCs w:val="24"/>
        </w:rPr>
      </w:pPr>
      <w:r w:rsidRPr="00015711">
        <w:rPr>
          <w:rFonts w:ascii="Arial" w:hAnsi="Arial" w:cs="Arial"/>
          <w:b/>
          <w:bCs/>
          <w:sz w:val="24"/>
          <w:szCs w:val="24"/>
        </w:rPr>
        <w:t>Informazioni prospettiche e pianificazione finanziaria</w:t>
      </w:r>
    </w:p>
    <w:p w14:paraId="639771E3" w14:textId="4A553C20" w:rsidR="0083601D" w:rsidRPr="00015711" w:rsidRDefault="00D84B6D" w:rsidP="0083601D">
      <w:pPr>
        <w:jc w:val="both"/>
        <w:rPr>
          <w:rFonts w:ascii="Arial" w:eastAsia="Times New Roman" w:hAnsi="Arial" w:cs="Arial"/>
          <w:sz w:val="24"/>
          <w:szCs w:val="24"/>
        </w:rPr>
      </w:pPr>
      <w:r w:rsidRPr="00015711">
        <w:rPr>
          <w:rFonts w:ascii="Arial" w:hAnsi="Arial" w:cs="Arial"/>
          <w:sz w:val="24"/>
          <w:szCs w:val="24"/>
        </w:rPr>
        <w:t xml:space="preserve">Gli standard EFRAG chiedono di pubblicare informazioni prospettiche con durate predefinite. </w:t>
      </w:r>
      <w:r w:rsidR="0083601D" w:rsidRPr="00015711">
        <w:rPr>
          <w:rFonts w:ascii="Arial" w:eastAsia="Times New Roman" w:hAnsi="Arial" w:cs="Arial"/>
          <w:sz w:val="24"/>
          <w:szCs w:val="24"/>
        </w:rPr>
        <w:t xml:space="preserve">Gli ESRS, per i dati prospettici, definiscono tre orizzonti temporali di breve (1 anno), medio (2-5anni) e lungo termine (&gt;5 anni). </w:t>
      </w:r>
    </w:p>
    <w:p w14:paraId="32417625" w14:textId="77777777" w:rsidR="00D84B6D" w:rsidRPr="00015711" w:rsidRDefault="00D84B6D" w:rsidP="00D84B6D">
      <w:pPr>
        <w:jc w:val="both"/>
        <w:rPr>
          <w:rFonts w:ascii="Arial" w:hAnsi="Arial" w:cs="Arial"/>
          <w:sz w:val="24"/>
          <w:szCs w:val="24"/>
        </w:rPr>
      </w:pPr>
      <w:r w:rsidRPr="00015711">
        <w:rPr>
          <w:rFonts w:ascii="Arial" w:hAnsi="Arial" w:cs="Arial"/>
          <w:sz w:val="24"/>
          <w:szCs w:val="24"/>
        </w:rPr>
        <w:t>Si pensi ad esempio allo standard sulla biodiversità dove si prevede l’obbligo di rendere noti gli obiettivi relativi alla biodiversità e agli ecosistemi (ESRS E4-3) i quali devono includere (se del caso) obiettivi di breve termine (1-5 anni), medio termine (5-10 anni) e lungo termine (oltre 10 anni).</w:t>
      </w:r>
    </w:p>
    <w:p w14:paraId="145E380B" w14:textId="77777777" w:rsidR="00D84B6D" w:rsidRPr="00015711" w:rsidRDefault="00D84B6D" w:rsidP="00D84B6D">
      <w:pPr>
        <w:jc w:val="both"/>
        <w:rPr>
          <w:rFonts w:ascii="Arial" w:hAnsi="Arial" w:cs="Arial"/>
          <w:sz w:val="24"/>
          <w:szCs w:val="24"/>
        </w:rPr>
      </w:pPr>
      <w:r w:rsidRPr="00015711">
        <w:rPr>
          <w:rFonts w:ascii="Arial" w:hAnsi="Arial" w:cs="Arial"/>
          <w:sz w:val="24"/>
          <w:szCs w:val="24"/>
        </w:rPr>
        <w:t>Questa impostazione pone due ordini di problemi.</w:t>
      </w:r>
    </w:p>
    <w:p w14:paraId="7D98C639" w14:textId="77777777" w:rsidR="00D84B6D" w:rsidRPr="00015711" w:rsidRDefault="00D84B6D" w:rsidP="00D84B6D">
      <w:pPr>
        <w:jc w:val="both"/>
        <w:rPr>
          <w:rFonts w:ascii="Arial" w:hAnsi="Arial" w:cs="Arial"/>
          <w:sz w:val="24"/>
          <w:szCs w:val="24"/>
        </w:rPr>
      </w:pPr>
      <w:r w:rsidRPr="00015711">
        <w:rPr>
          <w:rFonts w:ascii="Arial" w:hAnsi="Arial" w:cs="Arial"/>
          <w:sz w:val="24"/>
          <w:szCs w:val="24"/>
        </w:rPr>
        <w:t xml:space="preserve">Il primo ordine di problemi riguarda la difficoltà di prefigurare scenari futuri a lungo termine fondati su assunti ragionevoli e scientificamente fondati. </w:t>
      </w:r>
    </w:p>
    <w:p w14:paraId="68F97CCE" w14:textId="681E9E28" w:rsidR="00D84B6D" w:rsidRPr="00015711" w:rsidRDefault="00D84B6D" w:rsidP="00D84B6D">
      <w:pPr>
        <w:jc w:val="both"/>
        <w:rPr>
          <w:rFonts w:ascii="Arial" w:hAnsi="Arial" w:cs="Arial"/>
          <w:sz w:val="24"/>
          <w:szCs w:val="24"/>
        </w:rPr>
      </w:pPr>
      <w:r w:rsidRPr="00015711">
        <w:rPr>
          <w:rFonts w:ascii="Arial" w:hAnsi="Arial" w:cs="Arial"/>
          <w:sz w:val="24"/>
          <w:szCs w:val="24"/>
        </w:rPr>
        <w:t>Un secondo ordine di problemi riguarda la coerenza delle informazioni prospettiche di sostenibilità con la comune prassi di programmazione temporale in ambito finanziario. L’indicazione di pianificazioni finanziarie di sostenibilità a lungo termine (oltre 10 anni) potrebbe non essere allineata con la pianificazione finanziaria che usualmente presenta una prassi temporale più ridotta. La conseguenza è la definizione di due processi di pianificazione separati</w:t>
      </w:r>
      <w:r w:rsidR="00512A8F" w:rsidRPr="00015711">
        <w:rPr>
          <w:rFonts w:ascii="Arial" w:hAnsi="Arial" w:cs="Arial"/>
          <w:sz w:val="24"/>
          <w:szCs w:val="24"/>
        </w:rPr>
        <w:t xml:space="preserve"> che possono essere difficilmente giustificabili verso il mercato</w:t>
      </w:r>
      <w:r w:rsidRPr="00015711">
        <w:rPr>
          <w:rFonts w:ascii="Arial" w:hAnsi="Arial" w:cs="Arial"/>
          <w:sz w:val="24"/>
          <w:szCs w:val="24"/>
        </w:rPr>
        <w:t xml:space="preserve">. </w:t>
      </w:r>
    </w:p>
    <w:p w14:paraId="36C9098D" w14:textId="77777777" w:rsidR="00DE7729" w:rsidRPr="00015711" w:rsidRDefault="00477157" w:rsidP="00C229D2">
      <w:pPr>
        <w:jc w:val="both"/>
        <w:rPr>
          <w:rFonts w:ascii="Arial" w:eastAsia="Times New Roman" w:hAnsi="Arial" w:cs="Arial"/>
          <w:sz w:val="24"/>
          <w:szCs w:val="24"/>
        </w:rPr>
      </w:pPr>
      <w:r w:rsidRPr="00015711">
        <w:rPr>
          <w:rFonts w:ascii="Arial" w:eastAsia="Times New Roman" w:hAnsi="Arial" w:cs="Arial"/>
          <w:sz w:val="24"/>
          <w:szCs w:val="24"/>
        </w:rPr>
        <w:t xml:space="preserve">Si può dire più in generale come </w:t>
      </w:r>
      <w:r w:rsidR="00C229D2" w:rsidRPr="00015711">
        <w:rPr>
          <w:rFonts w:ascii="Arial" w:eastAsia="Times New Roman" w:hAnsi="Arial" w:cs="Arial"/>
          <w:sz w:val="24"/>
          <w:szCs w:val="24"/>
        </w:rPr>
        <w:t xml:space="preserve">i dati di sostenibilità </w:t>
      </w:r>
      <w:r w:rsidRPr="00015711">
        <w:rPr>
          <w:rFonts w:ascii="Arial" w:eastAsia="Times New Roman" w:hAnsi="Arial" w:cs="Arial"/>
          <w:sz w:val="24"/>
          <w:szCs w:val="24"/>
        </w:rPr>
        <w:t xml:space="preserve">non </w:t>
      </w:r>
      <w:r w:rsidR="00C229D2" w:rsidRPr="00015711">
        <w:rPr>
          <w:rFonts w:ascii="Arial" w:eastAsia="Times New Roman" w:hAnsi="Arial" w:cs="Arial"/>
          <w:sz w:val="24"/>
          <w:szCs w:val="24"/>
        </w:rPr>
        <w:t>si prestano a</w:t>
      </w:r>
      <w:r w:rsidRPr="00015711">
        <w:rPr>
          <w:rFonts w:ascii="Arial" w:eastAsia="Times New Roman" w:hAnsi="Arial" w:cs="Arial"/>
          <w:sz w:val="24"/>
          <w:szCs w:val="24"/>
        </w:rPr>
        <w:t>d orizzonti predeterminati in modo rigido</w:t>
      </w:r>
      <w:r w:rsidR="00DE7729" w:rsidRPr="00015711">
        <w:rPr>
          <w:rFonts w:ascii="Arial" w:eastAsia="Times New Roman" w:hAnsi="Arial" w:cs="Arial"/>
          <w:sz w:val="24"/>
          <w:szCs w:val="24"/>
        </w:rPr>
        <w:t xml:space="preserve"> ma si conformano a seconda del tipo di dato.</w:t>
      </w:r>
    </w:p>
    <w:p w14:paraId="26494CF4" w14:textId="5D490B4D" w:rsidR="00DE7729" w:rsidRPr="00015711" w:rsidRDefault="00DE7729" w:rsidP="00557238">
      <w:pPr>
        <w:jc w:val="both"/>
        <w:rPr>
          <w:rFonts w:ascii="Arial" w:hAnsi="Arial" w:cs="Arial"/>
          <w:sz w:val="24"/>
          <w:szCs w:val="24"/>
        </w:rPr>
      </w:pPr>
      <w:r w:rsidRPr="00015711">
        <w:rPr>
          <w:rFonts w:ascii="Arial" w:eastAsia="Times New Roman" w:hAnsi="Arial" w:cs="Arial"/>
          <w:sz w:val="24"/>
          <w:szCs w:val="24"/>
        </w:rPr>
        <w:t xml:space="preserve">In base a queste considerazioni, </w:t>
      </w:r>
      <w:r w:rsidR="00765E1A" w:rsidRPr="00015711">
        <w:rPr>
          <w:rFonts w:ascii="Arial" w:eastAsia="Times New Roman" w:hAnsi="Arial" w:cs="Arial"/>
          <w:sz w:val="24"/>
          <w:szCs w:val="24"/>
        </w:rPr>
        <w:t xml:space="preserve">è da ritenere che l’orizzonte temporale delle informazioni </w:t>
      </w:r>
      <w:r w:rsidRPr="00015711">
        <w:rPr>
          <w:rFonts w:ascii="Arial" w:hAnsi="Arial" w:cs="Arial"/>
          <w:sz w:val="24"/>
          <w:szCs w:val="24"/>
        </w:rPr>
        <w:t>di natura prospettica dovrebbe essere flessibile</w:t>
      </w:r>
      <w:r w:rsidR="004148DF" w:rsidRPr="00015711">
        <w:rPr>
          <w:rFonts w:ascii="Arial" w:hAnsi="Arial" w:cs="Arial"/>
          <w:sz w:val="24"/>
          <w:szCs w:val="24"/>
        </w:rPr>
        <w:t>,</w:t>
      </w:r>
      <w:r w:rsidRPr="00015711">
        <w:rPr>
          <w:rFonts w:ascii="Arial" w:hAnsi="Arial" w:cs="Arial"/>
          <w:sz w:val="24"/>
          <w:szCs w:val="24"/>
        </w:rPr>
        <w:t xml:space="preserve"> modellata sulla tipologia di informazioni prospettiche da fornire</w:t>
      </w:r>
      <w:r w:rsidR="004148DF" w:rsidRPr="00015711">
        <w:rPr>
          <w:rFonts w:ascii="Arial" w:hAnsi="Arial" w:cs="Arial"/>
          <w:sz w:val="24"/>
          <w:szCs w:val="24"/>
        </w:rPr>
        <w:t>, in base a una scelta dell’impresa</w:t>
      </w:r>
      <w:r w:rsidRPr="00015711">
        <w:rPr>
          <w:rFonts w:ascii="Arial" w:hAnsi="Arial" w:cs="Arial"/>
          <w:sz w:val="24"/>
          <w:szCs w:val="24"/>
        </w:rPr>
        <w:t>. Tendenzialmente essa dovrebbe essere allineata alla prassi della pianificazione finanziaria, con la facoltà per le imprese di indicare obiettivi con orizzonte temporale più ampio.</w:t>
      </w:r>
      <w:r w:rsidR="00223CE6" w:rsidRPr="00015711">
        <w:rPr>
          <w:rFonts w:ascii="Arial" w:hAnsi="Arial" w:cs="Arial"/>
          <w:sz w:val="24"/>
          <w:szCs w:val="24"/>
        </w:rPr>
        <w:t xml:space="preserve"> </w:t>
      </w:r>
    </w:p>
    <w:p w14:paraId="57672CD3" w14:textId="0F18EB6F" w:rsidR="00650138" w:rsidRPr="00015711" w:rsidRDefault="00650138" w:rsidP="00650138">
      <w:pPr>
        <w:jc w:val="both"/>
        <w:rPr>
          <w:rFonts w:ascii="Arial" w:hAnsi="Arial" w:cs="Arial"/>
          <w:b/>
          <w:bCs/>
          <w:sz w:val="24"/>
          <w:szCs w:val="24"/>
        </w:rPr>
      </w:pPr>
      <w:r w:rsidRPr="00015711">
        <w:rPr>
          <w:rFonts w:ascii="Arial" w:hAnsi="Arial" w:cs="Arial"/>
          <w:b/>
          <w:bCs/>
          <w:sz w:val="24"/>
          <w:szCs w:val="24"/>
        </w:rPr>
        <w:t>Orizzonte temporale delle informazioni retrospettive</w:t>
      </w:r>
    </w:p>
    <w:p w14:paraId="0A0284CF" w14:textId="77777777" w:rsidR="008C2E61" w:rsidRPr="00015711" w:rsidRDefault="00650138" w:rsidP="00557238">
      <w:pPr>
        <w:jc w:val="both"/>
        <w:rPr>
          <w:rFonts w:ascii="Arial" w:eastAsia="Times New Roman" w:hAnsi="Arial" w:cs="Arial"/>
          <w:sz w:val="24"/>
          <w:szCs w:val="24"/>
        </w:rPr>
      </w:pPr>
      <w:r w:rsidRPr="00015711">
        <w:rPr>
          <w:rFonts w:ascii="Arial" w:eastAsia="Times New Roman" w:hAnsi="Arial" w:cs="Arial"/>
          <w:sz w:val="24"/>
          <w:szCs w:val="24"/>
        </w:rPr>
        <w:lastRenderedPageBreak/>
        <w:t xml:space="preserve">Gli standard richiedono che le informazioni retrospettive siano almeno fornite per l’anno precedente a quello di rendicontazione, come avviene per il reporting finanziario. Le informazioni di sostenibilità hanno, però, una natura più complessa, anche per la loro varietà, rispetto ai dati economici e per questo è spesso </w:t>
      </w:r>
      <w:r w:rsidR="008C2E61" w:rsidRPr="00015711">
        <w:rPr>
          <w:rFonts w:ascii="Arial" w:eastAsia="Times New Roman" w:hAnsi="Arial" w:cs="Arial"/>
          <w:sz w:val="24"/>
          <w:szCs w:val="24"/>
        </w:rPr>
        <w:t xml:space="preserve">opportuno </w:t>
      </w:r>
      <w:r w:rsidRPr="00015711">
        <w:rPr>
          <w:rFonts w:ascii="Arial" w:eastAsia="Times New Roman" w:hAnsi="Arial" w:cs="Arial"/>
          <w:sz w:val="24"/>
          <w:szCs w:val="24"/>
        </w:rPr>
        <w:t>spiegare le informazioni dell’anno guardando non solo all’anno precedente, ma anche a un trend passato più ampio.</w:t>
      </w:r>
    </w:p>
    <w:p w14:paraId="56436283" w14:textId="76CE2FA9" w:rsidR="00650138" w:rsidRPr="00015711" w:rsidRDefault="00FC266F" w:rsidP="00557238">
      <w:pPr>
        <w:jc w:val="both"/>
        <w:rPr>
          <w:rFonts w:ascii="Arial" w:eastAsia="Times New Roman" w:hAnsi="Arial" w:cs="Arial"/>
          <w:sz w:val="24"/>
          <w:szCs w:val="24"/>
        </w:rPr>
      </w:pPr>
      <w:r w:rsidRPr="00015711">
        <w:rPr>
          <w:rFonts w:ascii="Arial" w:eastAsia="Times New Roman" w:hAnsi="Arial" w:cs="Arial"/>
          <w:sz w:val="24"/>
          <w:szCs w:val="24"/>
        </w:rPr>
        <w:t xml:space="preserve">Le linee guida potrebbero raccomandare </w:t>
      </w:r>
      <w:r w:rsidR="00650138" w:rsidRPr="00015711">
        <w:rPr>
          <w:rFonts w:ascii="Arial" w:eastAsia="Times New Roman" w:hAnsi="Arial" w:cs="Arial"/>
          <w:sz w:val="24"/>
          <w:szCs w:val="24"/>
        </w:rPr>
        <w:t>di commentare i dati dell’anno rispetto ai due esercizi che lo precedono</w:t>
      </w:r>
    </w:p>
    <w:p w14:paraId="191FE301" w14:textId="77777777" w:rsidR="00D84B6D" w:rsidRPr="00015711" w:rsidRDefault="00D84B6D" w:rsidP="00D84B6D">
      <w:pPr>
        <w:jc w:val="both"/>
        <w:rPr>
          <w:rFonts w:ascii="Arial" w:hAnsi="Arial" w:cs="Arial"/>
          <w:b/>
          <w:bCs/>
          <w:sz w:val="24"/>
          <w:szCs w:val="24"/>
        </w:rPr>
      </w:pPr>
      <w:r w:rsidRPr="00015711">
        <w:rPr>
          <w:rFonts w:ascii="Arial" w:hAnsi="Arial" w:cs="Arial"/>
          <w:b/>
          <w:bCs/>
          <w:sz w:val="24"/>
          <w:szCs w:val="24"/>
        </w:rPr>
        <w:t>Effetti finanziari dei rischi di sostenibilità</w:t>
      </w:r>
    </w:p>
    <w:p w14:paraId="77545495" w14:textId="41DDA625" w:rsidR="00D84B6D" w:rsidRPr="00015711" w:rsidRDefault="00DA2BE7" w:rsidP="00D84B6D">
      <w:pPr>
        <w:jc w:val="both"/>
        <w:rPr>
          <w:rFonts w:ascii="Arial" w:hAnsi="Arial" w:cs="Arial"/>
          <w:sz w:val="24"/>
          <w:szCs w:val="24"/>
        </w:rPr>
      </w:pPr>
      <w:r w:rsidRPr="00015711">
        <w:rPr>
          <w:rFonts w:ascii="Arial" w:hAnsi="Arial" w:cs="Arial"/>
          <w:sz w:val="24"/>
          <w:szCs w:val="24"/>
        </w:rPr>
        <w:t xml:space="preserve">Negli standard ambientali, </w:t>
      </w:r>
      <w:r w:rsidR="00E834FE" w:rsidRPr="00015711">
        <w:rPr>
          <w:rFonts w:ascii="Arial" w:hAnsi="Arial" w:cs="Arial"/>
          <w:sz w:val="24"/>
          <w:szCs w:val="24"/>
        </w:rPr>
        <w:t xml:space="preserve">si richiede </w:t>
      </w:r>
      <w:r w:rsidR="00D84B6D" w:rsidRPr="00015711">
        <w:rPr>
          <w:rFonts w:ascii="Arial" w:hAnsi="Arial" w:cs="Arial"/>
          <w:sz w:val="24"/>
          <w:szCs w:val="24"/>
        </w:rPr>
        <w:t xml:space="preserve">di </w:t>
      </w:r>
      <w:r w:rsidR="00E834FE" w:rsidRPr="00015711">
        <w:rPr>
          <w:rFonts w:ascii="Arial" w:hAnsi="Arial" w:cs="Arial"/>
          <w:sz w:val="24"/>
          <w:szCs w:val="24"/>
        </w:rPr>
        <w:t xml:space="preserve">determinare i </w:t>
      </w:r>
      <w:r w:rsidR="00223845" w:rsidRPr="00015711">
        <w:rPr>
          <w:rFonts w:ascii="Arial" w:hAnsi="Arial" w:cs="Arial"/>
          <w:sz w:val="24"/>
          <w:szCs w:val="24"/>
        </w:rPr>
        <w:t xml:space="preserve">possibili </w:t>
      </w:r>
      <w:r w:rsidR="00D84B6D" w:rsidRPr="00015711">
        <w:rPr>
          <w:rFonts w:ascii="Arial" w:hAnsi="Arial" w:cs="Arial"/>
          <w:sz w:val="24"/>
          <w:szCs w:val="24"/>
        </w:rPr>
        <w:t xml:space="preserve">effetti finanziari </w:t>
      </w:r>
      <w:r w:rsidR="00223845" w:rsidRPr="00015711">
        <w:rPr>
          <w:rFonts w:ascii="Arial" w:hAnsi="Arial" w:cs="Arial"/>
          <w:sz w:val="24"/>
          <w:szCs w:val="24"/>
        </w:rPr>
        <w:t xml:space="preserve">sulla performance dell’impresa </w:t>
      </w:r>
      <w:r w:rsidR="00F040E9" w:rsidRPr="00015711">
        <w:rPr>
          <w:rFonts w:ascii="Arial" w:hAnsi="Arial" w:cs="Arial"/>
          <w:sz w:val="24"/>
          <w:szCs w:val="24"/>
        </w:rPr>
        <w:t>nel breve, medio e lungo periodo.</w:t>
      </w:r>
      <w:r w:rsidR="00D84B6D" w:rsidRPr="00015711">
        <w:rPr>
          <w:rFonts w:ascii="Arial" w:hAnsi="Arial" w:cs="Arial"/>
          <w:sz w:val="24"/>
          <w:szCs w:val="24"/>
        </w:rPr>
        <w:t xml:space="preserve"> </w:t>
      </w:r>
    </w:p>
    <w:p w14:paraId="793DD34F" w14:textId="77777777" w:rsidR="00D84B6D" w:rsidRPr="00015711" w:rsidRDefault="00D84B6D" w:rsidP="00D84B6D">
      <w:pPr>
        <w:jc w:val="both"/>
        <w:rPr>
          <w:rFonts w:ascii="Arial" w:hAnsi="Arial" w:cs="Arial"/>
          <w:sz w:val="24"/>
          <w:szCs w:val="24"/>
        </w:rPr>
      </w:pPr>
      <w:r w:rsidRPr="00015711">
        <w:rPr>
          <w:rFonts w:ascii="Arial" w:hAnsi="Arial" w:cs="Arial"/>
          <w:sz w:val="24"/>
          <w:szCs w:val="24"/>
        </w:rPr>
        <w:t>Questo tipo di informazioni si ispira ai principi indicati nelle Raccomandazioni della Task Force sulle informazioni finanziarie relative al clima di giugno 2017 (Rapporto TCFD).</w:t>
      </w:r>
    </w:p>
    <w:p w14:paraId="53E06F37" w14:textId="25B12A39" w:rsidR="00D84B6D" w:rsidRPr="00015711" w:rsidRDefault="00D84B6D" w:rsidP="00D84B6D">
      <w:pPr>
        <w:jc w:val="both"/>
        <w:rPr>
          <w:rFonts w:ascii="Arial" w:hAnsi="Arial" w:cs="Arial"/>
          <w:sz w:val="24"/>
          <w:szCs w:val="24"/>
        </w:rPr>
      </w:pPr>
      <w:r w:rsidRPr="00015711">
        <w:rPr>
          <w:rFonts w:ascii="Arial" w:hAnsi="Arial" w:cs="Arial"/>
          <w:sz w:val="24"/>
          <w:szCs w:val="24"/>
        </w:rPr>
        <w:t xml:space="preserve">Mentre però il rapporto TCFD richiedeva informazioni di natura qualitativa a livello alto, gli standard EFRAG richiedono </w:t>
      </w:r>
      <w:r w:rsidR="001B519A" w:rsidRPr="00015711">
        <w:rPr>
          <w:rFonts w:ascii="Arial" w:hAnsi="Arial" w:cs="Arial"/>
          <w:sz w:val="24"/>
          <w:szCs w:val="24"/>
        </w:rPr>
        <w:t xml:space="preserve">anche </w:t>
      </w:r>
      <w:r w:rsidRPr="00015711">
        <w:rPr>
          <w:rFonts w:ascii="Arial" w:hAnsi="Arial" w:cs="Arial"/>
          <w:sz w:val="24"/>
          <w:szCs w:val="24"/>
        </w:rPr>
        <w:t xml:space="preserve">informazioni puntuali di natura quantitativa. </w:t>
      </w:r>
    </w:p>
    <w:p w14:paraId="64177203" w14:textId="77777777" w:rsidR="00D84B6D" w:rsidRPr="00015711" w:rsidRDefault="00D84B6D" w:rsidP="00D84B6D">
      <w:pPr>
        <w:jc w:val="both"/>
        <w:rPr>
          <w:rFonts w:ascii="Arial" w:hAnsi="Arial" w:cs="Arial"/>
          <w:sz w:val="24"/>
          <w:szCs w:val="24"/>
        </w:rPr>
      </w:pPr>
      <w:r w:rsidRPr="00015711">
        <w:rPr>
          <w:rFonts w:ascii="Arial" w:hAnsi="Arial" w:cs="Arial"/>
          <w:sz w:val="24"/>
          <w:szCs w:val="24"/>
        </w:rPr>
        <w:t>Al momento, non esistono processi affidabili e consolidati che riescano a costruire questi dati. In questa situazione, ciascuna società sarebbe chiamata a costruire il proprio processo, inficiando anche la comparabilità dei dati.</w:t>
      </w:r>
    </w:p>
    <w:p w14:paraId="727DBF8B" w14:textId="5135F2BB" w:rsidR="00D84B6D" w:rsidRPr="00015711" w:rsidRDefault="00D84B6D" w:rsidP="00D84B6D">
      <w:pPr>
        <w:jc w:val="both"/>
        <w:rPr>
          <w:rFonts w:ascii="Arial" w:hAnsi="Arial" w:cs="Arial"/>
          <w:sz w:val="24"/>
          <w:szCs w:val="24"/>
        </w:rPr>
      </w:pPr>
      <w:r w:rsidRPr="00015711">
        <w:rPr>
          <w:rFonts w:ascii="Arial" w:hAnsi="Arial" w:cs="Arial"/>
          <w:sz w:val="24"/>
          <w:szCs w:val="24"/>
        </w:rPr>
        <w:t xml:space="preserve">Qualora si volesse mantenere questo approccio più analitico, si dovrebbe indicare, anche nelle guida applicative, delle modalità operative </w:t>
      </w:r>
      <w:r w:rsidR="00EC3368" w:rsidRPr="00015711">
        <w:rPr>
          <w:rFonts w:ascii="Arial" w:hAnsi="Arial" w:cs="Arial"/>
          <w:sz w:val="24"/>
          <w:szCs w:val="24"/>
        </w:rPr>
        <w:t xml:space="preserve">puntuali </w:t>
      </w:r>
      <w:r w:rsidRPr="00015711">
        <w:rPr>
          <w:rFonts w:ascii="Arial" w:hAnsi="Arial" w:cs="Arial"/>
          <w:sz w:val="24"/>
          <w:szCs w:val="24"/>
        </w:rPr>
        <w:t>per stimare i suddetti effetti.</w:t>
      </w:r>
    </w:p>
    <w:p w14:paraId="375236B2" w14:textId="24D35CDA" w:rsidR="00D44823" w:rsidRPr="00015711" w:rsidRDefault="00D44823" w:rsidP="00D44823">
      <w:pPr>
        <w:jc w:val="both"/>
        <w:rPr>
          <w:rFonts w:ascii="Arial" w:hAnsi="Arial" w:cs="Arial"/>
          <w:b/>
          <w:bCs/>
          <w:sz w:val="24"/>
          <w:szCs w:val="24"/>
        </w:rPr>
      </w:pPr>
      <w:r w:rsidRPr="00015711">
        <w:rPr>
          <w:rFonts w:ascii="Arial" w:hAnsi="Arial" w:cs="Arial"/>
          <w:b/>
          <w:bCs/>
          <w:sz w:val="24"/>
          <w:szCs w:val="24"/>
        </w:rPr>
        <w:t>Analiticità dei dati</w:t>
      </w:r>
      <w:r w:rsidR="00EF6779" w:rsidRPr="00015711">
        <w:rPr>
          <w:rFonts w:ascii="Arial" w:hAnsi="Arial" w:cs="Arial"/>
          <w:b/>
          <w:bCs/>
          <w:sz w:val="24"/>
          <w:szCs w:val="24"/>
        </w:rPr>
        <w:t xml:space="preserve"> e clausola </w:t>
      </w:r>
      <w:r w:rsidR="00DE2E50" w:rsidRPr="00015711">
        <w:rPr>
          <w:rFonts w:ascii="Arial" w:hAnsi="Arial" w:cs="Arial"/>
          <w:b/>
          <w:bCs/>
          <w:sz w:val="24"/>
          <w:szCs w:val="24"/>
        </w:rPr>
        <w:t xml:space="preserve">di </w:t>
      </w:r>
      <w:r w:rsidRPr="00015711">
        <w:rPr>
          <w:rFonts w:ascii="Arial" w:hAnsi="Arial" w:cs="Arial"/>
          <w:b/>
          <w:bCs/>
          <w:sz w:val="24"/>
          <w:szCs w:val="24"/>
        </w:rPr>
        <w:t>omissione delle informazioni</w:t>
      </w:r>
    </w:p>
    <w:p w14:paraId="08A14115" w14:textId="32FA9CFE" w:rsidR="00963FF2" w:rsidRPr="00015711" w:rsidRDefault="00D44823" w:rsidP="00D44823">
      <w:pPr>
        <w:jc w:val="both"/>
        <w:rPr>
          <w:rFonts w:ascii="Arial" w:hAnsi="Arial" w:cs="Arial"/>
          <w:sz w:val="24"/>
          <w:szCs w:val="24"/>
        </w:rPr>
      </w:pPr>
      <w:r w:rsidRPr="00015711">
        <w:rPr>
          <w:rFonts w:ascii="Arial" w:hAnsi="Arial" w:cs="Arial"/>
          <w:sz w:val="24"/>
          <w:szCs w:val="24"/>
        </w:rPr>
        <w:t xml:space="preserve">Gli standard EFRAG impongono un estremo livello di dettaglio </w:t>
      </w:r>
      <w:r w:rsidR="00072637" w:rsidRPr="00015711">
        <w:rPr>
          <w:rFonts w:ascii="Arial" w:hAnsi="Arial" w:cs="Arial"/>
          <w:sz w:val="24"/>
          <w:szCs w:val="24"/>
        </w:rPr>
        <w:t xml:space="preserve">e granularità </w:t>
      </w:r>
      <w:r w:rsidRPr="00015711">
        <w:rPr>
          <w:rFonts w:ascii="Arial" w:hAnsi="Arial" w:cs="Arial"/>
          <w:sz w:val="24"/>
          <w:szCs w:val="24"/>
        </w:rPr>
        <w:t xml:space="preserve">delle informazioni richieste </w:t>
      </w:r>
      <w:r w:rsidR="003B3A9E" w:rsidRPr="00015711">
        <w:rPr>
          <w:rFonts w:ascii="Arial" w:hAnsi="Arial" w:cs="Arial"/>
          <w:sz w:val="24"/>
          <w:szCs w:val="24"/>
        </w:rPr>
        <w:t xml:space="preserve">che si pone a un </w:t>
      </w:r>
      <w:r w:rsidR="00BF0FC5" w:rsidRPr="00015711">
        <w:rPr>
          <w:rFonts w:ascii="Arial" w:hAnsi="Arial" w:cs="Arial"/>
          <w:sz w:val="24"/>
          <w:szCs w:val="24"/>
        </w:rPr>
        <w:t>grado</w:t>
      </w:r>
      <w:r w:rsidR="003B3A9E" w:rsidRPr="00015711">
        <w:rPr>
          <w:rFonts w:ascii="Arial" w:hAnsi="Arial" w:cs="Arial"/>
          <w:sz w:val="24"/>
          <w:szCs w:val="24"/>
        </w:rPr>
        <w:t xml:space="preserve"> superiore rispetto all</w:t>
      </w:r>
      <w:r w:rsidRPr="00015711">
        <w:rPr>
          <w:rFonts w:ascii="Arial" w:hAnsi="Arial" w:cs="Arial"/>
          <w:sz w:val="24"/>
          <w:szCs w:val="24"/>
        </w:rPr>
        <w:t xml:space="preserve">e </w:t>
      </w:r>
      <w:r w:rsidR="003B3A9E" w:rsidRPr="00015711">
        <w:rPr>
          <w:rFonts w:ascii="Arial" w:hAnsi="Arial" w:cs="Arial"/>
          <w:sz w:val="24"/>
          <w:szCs w:val="24"/>
        </w:rPr>
        <w:t xml:space="preserve">esperienze </w:t>
      </w:r>
      <w:r w:rsidR="00D54BB0" w:rsidRPr="00015711">
        <w:rPr>
          <w:rFonts w:ascii="Arial" w:hAnsi="Arial" w:cs="Arial"/>
          <w:sz w:val="24"/>
          <w:szCs w:val="24"/>
        </w:rPr>
        <w:t xml:space="preserve">delle iniziative </w:t>
      </w:r>
      <w:r w:rsidR="003B3A9E" w:rsidRPr="00015711">
        <w:rPr>
          <w:rFonts w:ascii="Arial" w:hAnsi="Arial" w:cs="Arial"/>
          <w:sz w:val="24"/>
          <w:szCs w:val="24"/>
        </w:rPr>
        <w:t xml:space="preserve">internazionali </w:t>
      </w:r>
      <w:r w:rsidR="00D54BB0" w:rsidRPr="00015711">
        <w:rPr>
          <w:rFonts w:ascii="Arial" w:hAnsi="Arial" w:cs="Arial"/>
          <w:sz w:val="24"/>
          <w:szCs w:val="24"/>
        </w:rPr>
        <w:t xml:space="preserve">finora applicate. Lo </w:t>
      </w:r>
      <w:r w:rsidR="00805A13" w:rsidRPr="00015711">
        <w:rPr>
          <w:rFonts w:ascii="Arial" w:hAnsi="Arial" w:cs="Arial"/>
          <w:sz w:val="24"/>
          <w:szCs w:val="24"/>
        </w:rPr>
        <w:t xml:space="preserve">stesso GRI ha segnalato proprio questa </w:t>
      </w:r>
      <w:r w:rsidR="00AE7C28" w:rsidRPr="00015711">
        <w:rPr>
          <w:rFonts w:ascii="Arial" w:hAnsi="Arial" w:cs="Arial"/>
          <w:sz w:val="24"/>
          <w:szCs w:val="24"/>
        </w:rPr>
        <w:t>estrema granularità</w:t>
      </w:r>
      <w:r w:rsidR="00805A13" w:rsidRPr="00015711">
        <w:rPr>
          <w:rFonts w:ascii="Arial" w:hAnsi="Arial" w:cs="Arial"/>
          <w:sz w:val="24"/>
          <w:szCs w:val="24"/>
        </w:rPr>
        <w:t xml:space="preserve"> come uno dei problemi degli </w:t>
      </w:r>
      <w:r w:rsidR="00AE7C28" w:rsidRPr="00015711">
        <w:rPr>
          <w:rFonts w:ascii="Arial" w:hAnsi="Arial" w:cs="Arial"/>
          <w:sz w:val="24"/>
          <w:szCs w:val="24"/>
        </w:rPr>
        <w:t>standard</w:t>
      </w:r>
      <w:r w:rsidR="00805A13" w:rsidRPr="00015711">
        <w:rPr>
          <w:rFonts w:ascii="Arial" w:hAnsi="Arial" w:cs="Arial"/>
          <w:sz w:val="24"/>
          <w:szCs w:val="24"/>
        </w:rPr>
        <w:t xml:space="preserve"> EFRAG</w:t>
      </w:r>
      <w:r w:rsidR="008056A4" w:rsidRPr="00015711">
        <w:rPr>
          <w:rFonts w:ascii="Arial" w:hAnsi="Arial" w:cs="Arial"/>
          <w:sz w:val="24"/>
          <w:szCs w:val="24"/>
        </w:rPr>
        <w:t xml:space="preserve"> (cfr. Lettera GRI 20 giugno 2022)</w:t>
      </w:r>
      <w:r w:rsidR="00963FF2" w:rsidRPr="00015711">
        <w:rPr>
          <w:rFonts w:ascii="Arial" w:hAnsi="Arial" w:cs="Arial"/>
          <w:sz w:val="24"/>
          <w:szCs w:val="24"/>
        </w:rPr>
        <w:t>.</w:t>
      </w:r>
    </w:p>
    <w:p w14:paraId="36BFA7C1" w14:textId="0667EEFB" w:rsidR="00A11EBC" w:rsidRPr="00015711" w:rsidRDefault="00D44823" w:rsidP="00D44823">
      <w:pPr>
        <w:jc w:val="both"/>
        <w:rPr>
          <w:rFonts w:ascii="Arial" w:hAnsi="Arial" w:cs="Arial"/>
          <w:sz w:val="24"/>
          <w:szCs w:val="24"/>
        </w:rPr>
      </w:pPr>
      <w:r w:rsidRPr="00015711">
        <w:rPr>
          <w:rFonts w:ascii="Arial" w:hAnsi="Arial" w:cs="Arial"/>
          <w:sz w:val="24"/>
          <w:szCs w:val="24"/>
        </w:rPr>
        <w:t xml:space="preserve">Questa impostazione è di difficile applicazione ed estremamente </w:t>
      </w:r>
      <w:r w:rsidR="006B205F" w:rsidRPr="00015711">
        <w:rPr>
          <w:rFonts w:ascii="Arial" w:hAnsi="Arial" w:cs="Arial"/>
          <w:sz w:val="24"/>
          <w:szCs w:val="24"/>
        </w:rPr>
        <w:t>onerosa</w:t>
      </w:r>
      <w:r w:rsidRPr="00015711">
        <w:rPr>
          <w:rFonts w:ascii="Arial" w:hAnsi="Arial" w:cs="Arial"/>
          <w:sz w:val="24"/>
          <w:szCs w:val="24"/>
        </w:rPr>
        <w:t xml:space="preserve"> per le imprese</w:t>
      </w:r>
      <w:r w:rsidR="00DC1F73" w:rsidRPr="00015711">
        <w:rPr>
          <w:rFonts w:ascii="Arial" w:hAnsi="Arial" w:cs="Arial"/>
          <w:sz w:val="24"/>
          <w:szCs w:val="24"/>
        </w:rPr>
        <w:t xml:space="preserve">. </w:t>
      </w:r>
      <w:r w:rsidR="000B4683" w:rsidRPr="00015711">
        <w:rPr>
          <w:rFonts w:ascii="Arial" w:hAnsi="Arial" w:cs="Arial"/>
          <w:sz w:val="24"/>
          <w:szCs w:val="24"/>
        </w:rPr>
        <w:t xml:space="preserve">Essa inoltre non risponde a uno dei criteri di qualità dell’informazione </w:t>
      </w:r>
      <w:r w:rsidR="00930A21" w:rsidRPr="00015711">
        <w:rPr>
          <w:rFonts w:ascii="Arial" w:hAnsi="Arial" w:cs="Arial"/>
          <w:sz w:val="24"/>
          <w:szCs w:val="24"/>
        </w:rPr>
        <w:t xml:space="preserve">e cioè la comprensibilità che impone di </w:t>
      </w:r>
      <w:r w:rsidR="00A11EBC" w:rsidRPr="00015711">
        <w:rPr>
          <w:rFonts w:ascii="Arial" w:hAnsi="Arial" w:cs="Arial"/>
          <w:sz w:val="24"/>
          <w:szCs w:val="24"/>
        </w:rPr>
        <w:t>fornire informazioni concise (ESRS 1, par 38 ss.).</w:t>
      </w:r>
    </w:p>
    <w:p w14:paraId="4D10A587" w14:textId="77777777" w:rsidR="0007092F" w:rsidRPr="00015711" w:rsidRDefault="00DC1F73" w:rsidP="00D44823">
      <w:pPr>
        <w:jc w:val="both"/>
        <w:rPr>
          <w:rFonts w:ascii="Arial" w:hAnsi="Arial" w:cs="Arial"/>
          <w:sz w:val="24"/>
          <w:szCs w:val="24"/>
        </w:rPr>
      </w:pPr>
      <w:r w:rsidRPr="00015711">
        <w:rPr>
          <w:rFonts w:ascii="Arial" w:hAnsi="Arial" w:cs="Arial"/>
          <w:sz w:val="24"/>
          <w:szCs w:val="24"/>
        </w:rPr>
        <w:t xml:space="preserve">Si pone la necessità di rendere più flessibile </w:t>
      </w:r>
      <w:r w:rsidR="00562C8C" w:rsidRPr="00015711">
        <w:rPr>
          <w:rFonts w:ascii="Arial" w:hAnsi="Arial" w:cs="Arial"/>
          <w:sz w:val="24"/>
          <w:szCs w:val="24"/>
        </w:rPr>
        <w:t xml:space="preserve">l’applicazione degli standard </w:t>
      </w:r>
      <w:r w:rsidR="003022E3" w:rsidRPr="00015711">
        <w:rPr>
          <w:rFonts w:ascii="Arial" w:hAnsi="Arial" w:cs="Arial"/>
          <w:sz w:val="24"/>
          <w:szCs w:val="24"/>
        </w:rPr>
        <w:t>EFRAG</w:t>
      </w:r>
      <w:r w:rsidR="0007092F" w:rsidRPr="00015711">
        <w:rPr>
          <w:rFonts w:ascii="Arial" w:hAnsi="Arial" w:cs="Arial"/>
          <w:sz w:val="24"/>
          <w:szCs w:val="24"/>
        </w:rPr>
        <w:t xml:space="preserve"> sotto due profili.</w:t>
      </w:r>
    </w:p>
    <w:p w14:paraId="523DD8FF" w14:textId="77777777" w:rsidR="002638DD" w:rsidRPr="00015711" w:rsidRDefault="0025563D" w:rsidP="00D44823">
      <w:pPr>
        <w:jc w:val="both"/>
        <w:rPr>
          <w:rFonts w:ascii="Arial" w:hAnsi="Arial" w:cs="Arial"/>
          <w:sz w:val="24"/>
          <w:szCs w:val="24"/>
        </w:rPr>
      </w:pPr>
      <w:r w:rsidRPr="00015711">
        <w:rPr>
          <w:rFonts w:ascii="Arial" w:hAnsi="Arial" w:cs="Arial"/>
          <w:sz w:val="24"/>
          <w:szCs w:val="24"/>
        </w:rPr>
        <w:t xml:space="preserve">Un primo profilo potrebbe essere quello </w:t>
      </w:r>
      <w:r w:rsidR="00506E2C" w:rsidRPr="00015711">
        <w:rPr>
          <w:rFonts w:ascii="Arial" w:hAnsi="Arial" w:cs="Arial"/>
          <w:sz w:val="24"/>
          <w:szCs w:val="24"/>
        </w:rPr>
        <w:t xml:space="preserve">di </w:t>
      </w:r>
      <w:r w:rsidR="00F43126" w:rsidRPr="00015711">
        <w:rPr>
          <w:rFonts w:ascii="Arial" w:hAnsi="Arial" w:cs="Arial"/>
          <w:sz w:val="24"/>
          <w:szCs w:val="24"/>
        </w:rPr>
        <w:t>rivedere alcuni requisiti informativi obbligatori</w:t>
      </w:r>
      <w:r w:rsidR="003022E3" w:rsidRPr="00015711">
        <w:rPr>
          <w:rFonts w:ascii="Arial" w:hAnsi="Arial" w:cs="Arial"/>
          <w:sz w:val="24"/>
          <w:szCs w:val="24"/>
        </w:rPr>
        <w:t>,</w:t>
      </w:r>
      <w:r w:rsidR="002638DD" w:rsidRPr="00015711">
        <w:rPr>
          <w:rFonts w:ascii="Arial" w:hAnsi="Arial" w:cs="Arial"/>
          <w:sz w:val="24"/>
          <w:szCs w:val="24"/>
        </w:rPr>
        <w:t xml:space="preserve"> attribuendogli la diversa natura di raccomandazioni.</w:t>
      </w:r>
    </w:p>
    <w:p w14:paraId="40182E10" w14:textId="725FB953" w:rsidR="00D44823" w:rsidRPr="00015711" w:rsidRDefault="008A472D" w:rsidP="00D44823">
      <w:pPr>
        <w:jc w:val="both"/>
        <w:rPr>
          <w:rFonts w:ascii="Arial" w:hAnsi="Arial" w:cs="Arial"/>
          <w:sz w:val="24"/>
          <w:szCs w:val="24"/>
        </w:rPr>
      </w:pPr>
      <w:r w:rsidRPr="00015711">
        <w:rPr>
          <w:rFonts w:ascii="Arial" w:hAnsi="Arial" w:cs="Arial"/>
          <w:sz w:val="24"/>
          <w:szCs w:val="24"/>
        </w:rPr>
        <w:t xml:space="preserve">Un secondo profilo potrebbe essere quello di introdurre </w:t>
      </w:r>
      <w:r w:rsidR="00D44823" w:rsidRPr="00015711">
        <w:rPr>
          <w:rFonts w:ascii="Arial" w:hAnsi="Arial" w:cs="Arial"/>
          <w:sz w:val="24"/>
          <w:szCs w:val="24"/>
        </w:rPr>
        <w:t>una clausola generale che consenta l’omissione di fornire determinate informazioni</w:t>
      </w:r>
      <w:r w:rsidR="001629C0" w:rsidRPr="00015711">
        <w:rPr>
          <w:rFonts w:ascii="Arial" w:hAnsi="Arial" w:cs="Arial"/>
          <w:sz w:val="24"/>
          <w:szCs w:val="24"/>
        </w:rPr>
        <w:t xml:space="preserve"> </w:t>
      </w:r>
      <w:r w:rsidR="008753C7" w:rsidRPr="00015711">
        <w:rPr>
          <w:rFonts w:ascii="Arial" w:hAnsi="Arial" w:cs="Arial"/>
          <w:sz w:val="24"/>
          <w:szCs w:val="24"/>
        </w:rPr>
        <w:t xml:space="preserve">obbligatorie </w:t>
      </w:r>
      <w:r w:rsidR="001629C0" w:rsidRPr="00015711">
        <w:rPr>
          <w:rFonts w:ascii="Arial" w:hAnsi="Arial" w:cs="Arial"/>
          <w:sz w:val="24"/>
          <w:szCs w:val="24"/>
        </w:rPr>
        <w:t>oppure una m</w:t>
      </w:r>
      <w:r w:rsidR="00256FAD" w:rsidRPr="00015711">
        <w:rPr>
          <w:rFonts w:ascii="Arial" w:hAnsi="Arial" w:cs="Arial"/>
          <w:sz w:val="24"/>
          <w:szCs w:val="24"/>
        </w:rPr>
        <w:t>i</w:t>
      </w:r>
      <w:r w:rsidR="001629C0" w:rsidRPr="00015711">
        <w:rPr>
          <w:rFonts w:ascii="Arial" w:hAnsi="Arial" w:cs="Arial"/>
          <w:sz w:val="24"/>
          <w:szCs w:val="24"/>
        </w:rPr>
        <w:t>nore granularità de</w:t>
      </w:r>
      <w:r w:rsidR="00256FAD" w:rsidRPr="00015711">
        <w:rPr>
          <w:rFonts w:ascii="Arial" w:hAnsi="Arial" w:cs="Arial"/>
          <w:sz w:val="24"/>
          <w:szCs w:val="24"/>
        </w:rPr>
        <w:t>l</w:t>
      </w:r>
      <w:r w:rsidR="001629C0" w:rsidRPr="00015711">
        <w:rPr>
          <w:rFonts w:ascii="Arial" w:hAnsi="Arial" w:cs="Arial"/>
          <w:sz w:val="24"/>
          <w:szCs w:val="24"/>
        </w:rPr>
        <w:t>l’informazione</w:t>
      </w:r>
      <w:r w:rsidR="00D44823" w:rsidRPr="00015711">
        <w:rPr>
          <w:rFonts w:ascii="Arial" w:hAnsi="Arial" w:cs="Arial"/>
          <w:sz w:val="24"/>
          <w:szCs w:val="24"/>
        </w:rPr>
        <w:t>, quando vi s</w:t>
      </w:r>
      <w:r w:rsidR="00256FAD" w:rsidRPr="00015711">
        <w:rPr>
          <w:rFonts w:ascii="Arial" w:hAnsi="Arial" w:cs="Arial"/>
          <w:sz w:val="24"/>
          <w:szCs w:val="24"/>
        </w:rPr>
        <w:t>ian</w:t>
      </w:r>
      <w:r w:rsidR="00D44823" w:rsidRPr="00015711">
        <w:rPr>
          <w:rFonts w:ascii="Arial" w:hAnsi="Arial" w:cs="Arial"/>
          <w:sz w:val="24"/>
          <w:szCs w:val="24"/>
        </w:rPr>
        <w:t xml:space="preserve">o giustificazioni ragionevoli. </w:t>
      </w:r>
    </w:p>
    <w:p w14:paraId="3B276A54" w14:textId="2F907A2E" w:rsidR="00EC460B" w:rsidRPr="00015711" w:rsidRDefault="00D44823" w:rsidP="00D44823">
      <w:pPr>
        <w:jc w:val="both"/>
        <w:rPr>
          <w:rFonts w:ascii="Arial" w:hAnsi="Arial" w:cs="Arial"/>
          <w:sz w:val="24"/>
          <w:szCs w:val="24"/>
        </w:rPr>
      </w:pPr>
      <w:r w:rsidRPr="00015711">
        <w:rPr>
          <w:rFonts w:ascii="Arial" w:hAnsi="Arial" w:cs="Arial"/>
          <w:sz w:val="24"/>
          <w:szCs w:val="24"/>
        </w:rPr>
        <w:t xml:space="preserve">Tra le situazioni che possono giustificare l’omissione delle informazioni </w:t>
      </w:r>
      <w:r w:rsidR="00B63A95" w:rsidRPr="00015711">
        <w:rPr>
          <w:rFonts w:ascii="Arial" w:hAnsi="Arial" w:cs="Arial"/>
          <w:sz w:val="24"/>
          <w:szCs w:val="24"/>
        </w:rPr>
        <w:t xml:space="preserve">si possono utilizzare </w:t>
      </w:r>
      <w:r w:rsidR="00903889" w:rsidRPr="00015711">
        <w:rPr>
          <w:rFonts w:ascii="Arial" w:hAnsi="Arial" w:cs="Arial"/>
          <w:sz w:val="24"/>
          <w:szCs w:val="24"/>
        </w:rPr>
        <w:t>le indicazioni fornite nel GRI (GRI 1</w:t>
      </w:r>
      <w:r w:rsidR="00E70436" w:rsidRPr="00015711">
        <w:rPr>
          <w:rFonts w:ascii="Arial" w:hAnsi="Arial" w:cs="Arial"/>
          <w:sz w:val="24"/>
          <w:szCs w:val="24"/>
        </w:rPr>
        <w:t xml:space="preserve">, Foundation, versione 2021, </w:t>
      </w:r>
      <w:r w:rsidR="00FF082D" w:rsidRPr="00015711">
        <w:rPr>
          <w:rFonts w:ascii="Arial" w:hAnsi="Arial" w:cs="Arial"/>
          <w:sz w:val="24"/>
          <w:szCs w:val="24"/>
        </w:rPr>
        <w:t xml:space="preserve">paragrafo </w:t>
      </w:r>
      <w:r w:rsidR="00931754" w:rsidRPr="00015711">
        <w:rPr>
          <w:rFonts w:ascii="Arial" w:hAnsi="Arial" w:cs="Arial"/>
          <w:sz w:val="24"/>
          <w:szCs w:val="24"/>
        </w:rPr>
        <w:t xml:space="preserve">“concetti chiave” </w:t>
      </w:r>
      <w:r w:rsidR="00FF082D" w:rsidRPr="00015711">
        <w:rPr>
          <w:rFonts w:ascii="Arial" w:hAnsi="Arial" w:cs="Arial"/>
          <w:sz w:val="24"/>
          <w:szCs w:val="24"/>
        </w:rPr>
        <w:t>2,</w:t>
      </w:r>
      <w:r w:rsidR="00931754" w:rsidRPr="00015711">
        <w:rPr>
          <w:rFonts w:ascii="Arial" w:hAnsi="Arial" w:cs="Arial"/>
          <w:sz w:val="24"/>
          <w:szCs w:val="24"/>
        </w:rPr>
        <w:t xml:space="preserve"> </w:t>
      </w:r>
      <w:r w:rsidR="00E70436" w:rsidRPr="00015711">
        <w:rPr>
          <w:rFonts w:ascii="Arial" w:hAnsi="Arial" w:cs="Arial"/>
          <w:sz w:val="24"/>
          <w:szCs w:val="24"/>
        </w:rPr>
        <w:t>requisito 6)</w:t>
      </w:r>
      <w:r w:rsidR="001E44F4" w:rsidRPr="00015711">
        <w:rPr>
          <w:rFonts w:ascii="Arial" w:hAnsi="Arial" w:cs="Arial"/>
          <w:sz w:val="24"/>
          <w:szCs w:val="24"/>
        </w:rPr>
        <w:t xml:space="preserve"> secondo cui è possibile omettere l’informazione</w:t>
      </w:r>
      <w:r w:rsidRPr="00015711">
        <w:rPr>
          <w:rFonts w:ascii="Arial" w:hAnsi="Arial" w:cs="Arial"/>
          <w:sz w:val="24"/>
          <w:szCs w:val="24"/>
        </w:rPr>
        <w:t xml:space="preserve"> in </w:t>
      </w:r>
      <w:r w:rsidR="00A570A0" w:rsidRPr="00015711">
        <w:rPr>
          <w:rFonts w:ascii="Arial" w:hAnsi="Arial" w:cs="Arial"/>
          <w:sz w:val="24"/>
          <w:szCs w:val="24"/>
        </w:rPr>
        <w:t>quattro situazioni</w:t>
      </w:r>
      <w:r w:rsidRPr="00015711">
        <w:rPr>
          <w:rFonts w:ascii="Arial" w:hAnsi="Arial" w:cs="Arial"/>
          <w:sz w:val="24"/>
          <w:szCs w:val="24"/>
        </w:rPr>
        <w:t xml:space="preserve">: a) le informazioni </w:t>
      </w:r>
      <w:r w:rsidR="009C246F" w:rsidRPr="00015711">
        <w:rPr>
          <w:rFonts w:ascii="Arial" w:hAnsi="Arial" w:cs="Arial"/>
          <w:sz w:val="24"/>
          <w:szCs w:val="24"/>
        </w:rPr>
        <w:t xml:space="preserve">non sono </w:t>
      </w:r>
      <w:r w:rsidR="007F7331" w:rsidRPr="00015711">
        <w:rPr>
          <w:rFonts w:ascii="Arial" w:hAnsi="Arial" w:cs="Arial"/>
          <w:sz w:val="24"/>
          <w:szCs w:val="24"/>
        </w:rPr>
        <w:t>applicabili</w:t>
      </w:r>
      <w:r w:rsidRPr="00015711">
        <w:rPr>
          <w:rFonts w:ascii="Arial" w:hAnsi="Arial" w:cs="Arial"/>
          <w:sz w:val="24"/>
          <w:szCs w:val="24"/>
        </w:rPr>
        <w:t xml:space="preserve">; b) le informazioni sono riservate; c) le informazioni sono soggette a limiti legali sulla diffusione; d) le informazioni non sono </w:t>
      </w:r>
      <w:r w:rsidR="0097240E" w:rsidRPr="00015711">
        <w:rPr>
          <w:rFonts w:ascii="Arial" w:hAnsi="Arial" w:cs="Arial"/>
          <w:sz w:val="24"/>
          <w:szCs w:val="24"/>
        </w:rPr>
        <w:t>disponibili o sono incomplete</w:t>
      </w:r>
      <w:r w:rsidRPr="00015711">
        <w:rPr>
          <w:rFonts w:ascii="Arial" w:hAnsi="Arial" w:cs="Arial"/>
          <w:sz w:val="24"/>
          <w:szCs w:val="24"/>
        </w:rPr>
        <w:t>.</w:t>
      </w:r>
    </w:p>
    <w:p w14:paraId="7AABFDAA" w14:textId="1D4569F0" w:rsidR="00D44823" w:rsidRPr="00015711" w:rsidRDefault="00EC460B" w:rsidP="00D44823">
      <w:pPr>
        <w:jc w:val="both"/>
        <w:rPr>
          <w:rFonts w:ascii="Arial" w:hAnsi="Arial" w:cs="Arial"/>
          <w:sz w:val="24"/>
          <w:szCs w:val="24"/>
        </w:rPr>
      </w:pPr>
      <w:r w:rsidRPr="00015711">
        <w:rPr>
          <w:rFonts w:ascii="Arial" w:hAnsi="Arial" w:cs="Arial"/>
          <w:sz w:val="24"/>
          <w:szCs w:val="24"/>
        </w:rPr>
        <w:lastRenderedPageBreak/>
        <w:t xml:space="preserve">Inoltre, sembra ragionevole </w:t>
      </w:r>
      <w:r w:rsidR="00E40EED" w:rsidRPr="00015711">
        <w:rPr>
          <w:rFonts w:ascii="Arial" w:hAnsi="Arial" w:cs="Arial"/>
          <w:sz w:val="24"/>
          <w:szCs w:val="24"/>
        </w:rPr>
        <w:t xml:space="preserve">introdurre una graduazione di richieste: quelle obbligatorie (salvo confutazione </w:t>
      </w:r>
      <w:r w:rsidR="008B2600" w:rsidRPr="00015711">
        <w:rPr>
          <w:rFonts w:ascii="Arial" w:hAnsi="Arial" w:cs="Arial"/>
          <w:sz w:val="24"/>
          <w:szCs w:val="24"/>
        </w:rPr>
        <w:t>della</w:t>
      </w:r>
      <w:r w:rsidR="00E40EED" w:rsidRPr="00015711">
        <w:rPr>
          <w:rFonts w:ascii="Arial" w:hAnsi="Arial" w:cs="Arial"/>
          <w:sz w:val="24"/>
          <w:szCs w:val="24"/>
        </w:rPr>
        <w:t xml:space="preserve"> materialità); </w:t>
      </w:r>
      <w:r w:rsidR="008B2600" w:rsidRPr="00015711">
        <w:rPr>
          <w:rFonts w:ascii="Arial" w:hAnsi="Arial" w:cs="Arial"/>
          <w:sz w:val="24"/>
          <w:szCs w:val="24"/>
        </w:rPr>
        <w:t>quelle suggerite; quelle con valore esemplificativo (nelle linee guida applicative).</w:t>
      </w:r>
      <w:r w:rsidR="00D44823" w:rsidRPr="00015711">
        <w:rPr>
          <w:rFonts w:ascii="Arial" w:hAnsi="Arial" w:cs="Arial"/>
          <w:sz w:val="24"/>
          <w:szCs w:val="24"/>
        </w:rPr>
        <w:t xml:space="preserve">  </w:t>
      </w:r>
    </w:p>
    <w:p w14:paraId="08A5AD0C" w14:textId="77777777" w:rsidR="00BA5381" w:rsidRPr="00015711" w:rsidRDefault="00BA5381" w:rsidP="00BA5381">
      <w:pPr>
        <w:jc w:val="both"/>
        <w:rPr>
          <w:rFonts w:ascii="Arial" w:hAnsi="Arial" w:cs="Arial"/>
          <w:b/>
          <w:bCs/>
          <w:sz w:val="24"/>
          <w:szCs w:val="24"/>
        </w:rPr>
      </w:pPr>
      <w:r w:rsidRPr="00015711">
        <w:rPr>
          <w:rFonts w:ascii="Arial" w:hAnsi="Arial" w:cs="Arial"/>
          <w:b/>
          <w:bCs/>
          <w:sz w:val="24"/>
          <w:szCs w:val="24"/>
        </w:rPr>
        <w:t>Obblighi di comunicazione su piani e politiche</w:t>
      </w:r>
    </w:p>
    <w:p w14:paraId="56EC5B28" w14:textId="77777777" w:rsidR="00BA5381" w:rsidRPr="00015711" w:rsidRDefault="00BA5381" w:rsidP="00BA5381">
      <w:pPr>
        <w:jc w:val="both"/>
        <w:rPr>
          <w:rFonts w:ascii="Arial" w:hAnsi="Arial" w:cs="Arial"/>
          <w:sz w:val="24"/>
          <w:szCs w:val="24"/>
        </w:rPr>
      </w:pPr>
      <w:r w:rsidRPr="00015711">
        <w:rPr>
          <w:rFonts w:ascii="Arial" w:hAnsi="Arial" w:cs="Arial"/>
          <w:sz w:val="24"/>
          <w:szCs w:val="24"/>
        </w:rPr>
        <w:t xml:space="preserve">Gli standard EFRAG replicano tutti uno schema comune che prevede la comunicazione di informazioni all’interno di tre </w:t>
      </w:r>
      <w:proofErr w:type="spellStart"/>
      <w:r w:rsidRPr="00015711">
        <w:rPr>
          <w:rFonts w:ascii="Arial" w:hAnsi="Arial" w:cs="Arial"/>
          <w:sz w:val="24"/>
          <w:szCs w:val="24"/>
        </w:rPr>
        <w:t>macrosezioni</w:t>
      </w:r>
      <w:proofErr w:type="spellEnd"/>
      <w:r w:rsidRPr="00015711">
        <w:rPr>
          <w:rFonts w:ascii="Arial" w:hAnsi="Arial" w:cs="Arial"/>
          <w:sz w:val="24"/>
          <w:szCs w:val="24"/>
        </w:rPr>
        <w:t>: a) i profili generali sulla strategia; b) le politiche, gli obiettivi e i piani d’azione; c) gli indicatori di prestazione per misurare gli impatti.</w:t>
      </w:r>
    </w:p>
    <w:p w14:paraId="4471F768" w14:textId="77777777" w:rsidR="00BA5381" w:rsidRPr="00015711" w:rsidRDefault="00BA5381" w:rsidP="00BA5381">
      <w:pPr>
        <w:jc w:val="both"/>
        <w:rPr>
          <w:rFonts w:ascii="Arial" w:hAnsi="Arial" w:cs="Arial"/>
          <w:sz w:val="24"/>
          <w:szCs w:val="24"/>
        </w:rPr>
      </w:pPr>
      <w:r w:rsidRPr="00015711">
        <w:rPr>
          <w:rFonts w:ascii="Arial" w:hAnsi="Arial" w:cs="Arial"/>
          <w:sz w:val="24"/>
          <w:szCs w:val="24"/>
        </w:rPr>
        <w:t>Gli standard chiedono di indicare i piani, le politiche e gli obiettivi nonché, in alcuni casi (v. ad es. ESRS E1 Requisito E1-3, par 27 sugli obiettivi relativi al clima), qualora la società non abbia adottato questi atti, se e quando saranno adottati o le ragioni per cui non si prevede di adottarli.</w:t>
      </w:r>
    </w:p>
    <w:p w14:paraId="632D1D82" w14:textId="0598B26C" w:rsidR="00BA5381" w:rsidRPr="00015711" w:rsidRDefault="00BA5381" w:rsidP="00BA5381">
      <w:pPr>
        <w:jc w:val="both"/>
        <w:rPr>
          <w:rFonts w:ascii="Arial" w:hAnsi="Arial" w:cs="Arial"/>
          <w:sz w:val="24"/>
          <w:szCs w:val="24"/>
        </w:rPr>
      </w:pPr>
      <w:r w:rsidRPr="00015711">
        <w:rPr>
          <w:rFonts w:ascii="Arial" w:hAnsi="Arial" w:cs="Arial"/>
          <w:sz w:val="24"/>
          <w:szCs w:val="24"/>
        </w:rPr>
        <w:t xml:space="preserve">La disciplina in esame sugli obblighi di comunicazione in materia di sostenibilità è una disciplina di rendicontazione che è tipicamente diretta a informare i destinatari sulle attività già </w:t>
      </w:r>
      <w:proofErr w:type="gramStart"/>
      <w:r w:rsidRPr="00015711">
        <w:rPr>
          <w:rFonts w:ascii="Arial" w:hAnsi="Arial" w:cs="Arial"/>
          <w:sz w:val="24"/>
          <w:szCs w:val="24"/>
        </w:rPr>
        <w:t>poste in essere</w:t>
      </w:r>
      <w:proofErr w:type="gramEnd"/>
      <w:r w:rsidRPr="00015711">
        <w:rPr>
          <w:rFonts w:ascii="Arial" w:hAnsi="Arial" w:cs="Arial"/>
          <w:sz w:val="24"/>
          <w:szCs w:val="24"/>
        </w:rPr>
        <w:t xml:space="preserve"> dalla società oppure che intende attuare ma non può essere intesa come una disciplina di natura sostanziale che impone obblighi di comportamento di natura gestionale. </w:t>
      </w:r>
    </w:p>
    <w:p w14:paraId="54D1DE11" w14:textId="77777777" w:rsidR="00BA5381" w:rsidRPr="00015711" w:rsidRDefault="00BA5381" w:rsidP="00BA5381">
      <w:pPr>
        <w:jc w:val="both"/>
        <w:rPr>
          <w:rFonts w:ascii="Arial" w:hAnsi="Arial" w:cs="Arial"/>
          <w:sz w:val="24"/>
          <w:szCs w:val="24"/>
        </w:rPr>
      </w:pPr>
      <w:r w:rsidRPr="00015711">
        <w:rPr>
          <w:rFonts w:ascii="Arial" w:hAnsi="Arial" w:cs="Arial"/>
          <w:sz w:val="24"/>
          <w:szCs w:val="24"/>
        </w:rPr>
        <w:t xml:space="preserve">Di conseguenza, gli obblighi informativi su piani o politiche dovrebbero essere intesi nel senso che, mentre la società che ha adottato tali atti ne deve dare conto, la società può non avere piani, politiche o obiettivi di sostenibilità, e i relativi obblighi di comunicazione dovranno considerarsi soddisfatti con la semplice dichiarazione che la società non ha adottato piani, politiche o obiettivi. </w:t>
      </w:r>
    </w:p>
    <w:p w14:paraId="124103DA" w14:textId="6DFC9A39" w:rsidR="00BA5381" w:rsidRPr="00015711" w:rsidRDefault="00BA5381" w:rsidP="00BA5381">
      <w:pPr>
        <w:jc w:val="both"/>
        <w:rPr>
          <w:rFonts w:ascii="Arial" w:hAnsi="Arial" w:cs="Arial"/>
          <w:sz w:val="24"/>
          <w:szCs w:val="24"/>
        </w:rPr>
      </w:pPr>
      <w:r w:rsidRPr="00015711">
        <w:rPr>
          <w:rFonts w:ascii="Arial" w:hAnsi="Arial" w:cs="Arial"/>
          <w:sz w:val="24"/>
          <w:szCs w:val="24"/>
        </w:rPr>
        <w:t xml:space="preserve">Non è invece coerente con </w:t>
      </w:r>
      <w:r w:rsidR="00CC49EB" w:rsidRPr="00015711">
        <w:rPr>
          <w:rFonts w:ascii="Arial" w:hAnsi="Arial" w:cs="Arial"/>
          <w:sz w:val="24"/>
          <w:szCs w:val="24"/>
        </w:rPr>
        <w:t xml:space="preserve">gli </w:t>
      </w:r>
      <w:r w:rsidRPr="00015711">
        <w:rPr>
          <w:rFonts w:ascii="Arial" w:hAnsi="Arial" w:cs="Arial"/>
          <w:sz w:val="24"/>
          <w:szCs w:val="24"/>
        </w:rPr>
        <w:t>obblighi di mera trasparenza imporre alla società di indicare perché non ha adottato tali atti né se intende adottare in futuro.</w:t>
      </w:r>
    </w:p>
    <w:p w14:paraId="633D7538" w14:textId="77777777" w:rsidR="00BA5381" w:rsidRPr="00015711" w:rsidRDefault="00BA5381" w:rsidP="00BA5381">
      <w:pPr>
        <w:jc w:val="both"/>
        <w:rPr>
          <w:rFonts w:ascii="Arial" w:hAnsi="Arial" w:cs="Arial"/>
          <w:sz w:val="24"/>
          <w:szCs w:val="24"/>
        </w:rPr>
      </w:pPr>
      <w:r w:rsidRPr="00015711">
        <w:rPr>
          <w:rFonts w:ascii="Arial" w:hAnsi="Arial" w:cs="Arial"/>
          <w:sz w:val="24"/>
          <w:szCs w:val="24"/>
        </w:rPr>
        <w:t xml:space="preserve">Gli standard dovrebbero essere modificati nel senso appena indicato.   </w:t>
      </w:r>
    </w:p>
    <w:p w14:paraId="69B77BDC" w14:textId="48E6351B" w:rsidR="007D350D" w:rsidRPr="00015711" w:rsidRDefault="00DF1EC1" w:rsidP="00E020D8">
      <w:pPr>
        <w:jc w:val="both"/>
        <w:rPr>
          <w:rFonts w:ascii="Arial" w:hAnsi="Arial" w:cs="Arial"/>
          <w:b/>
          <w:bCs/>
          <w:i/>
          <w:iCs/>
          <w:sz w:val="24"/>
          <w:szCs w:val="24"/>
        </w:rPr>
      </w:pPr>
      <w:proofErr w:type="spellStart"/>
      <w:r w:rsidRPr="00015711">
        <w:rPr>
          <w:rFonts w:ascii="Arial" w:hAnsi="Arial" w:cs="Arial"/>
          <w:b/>
          <w:bCs/>
          <w:i/>
          <w:iCs/>
          <w:sz w:val="24"/>
          <w:szCs w:val="24"/>
        </w:rPr>
        <w:t>I</w:t>
      </w:r>
      <w:r w:rsidR="007D350D" w:rsidRPr="00015711">
        <w:rPr>
          <w:rFonts w:ascii="Arial" w:hAnsi="Arial" w:cs="Arial"/>
          <w:b/>
          <w:bCs/>
          <w:i/>
          <w:iCs/>
          <w:sz w:val="24"/>
          <w:szCs w:val="24"/>
        </w:rPr>
        <w:t>ncorporation</w:t>
      </w:r>
      <w:proofErr w:type="spellEnd"/>
      <w:r w:rsidR="007D350D" w:rsidRPr="00015711">
        <w:rPr>
          <w:rFonts w:ascii="Arial" w:hAnsi="Arial" w:cs="Arial"/>
          <w:b/>
          <w:bCs/>
          <w:i/>
          <w:iCs/>
          <w:sz w:val="24"/>
          <w:szCs w:val="24"/>
        </w:rPr>
        <w:t xml:space="preserve"> by </w:t>
      </w:r>
      <w:proofErr w:type="spellStart"/>
      <w:r w:rsidR="007D350D" w:rsidRPr="00015711">
        <w:rPr>
          <w:rFonts w:ascii="Arial" w:hAnsi="Arial" w:cs="Arial"/>
          <w:b/>
          <w:bCs/>
          <w:i/>
          <w:iCs/>
          <w:sz w:val="24"/>
          <w:szCs w:val="24"/>
        </w:rPr>
        <w:t>reference</w:t>
      </w:r>
      <w:proofErr w:type="spellEnd"/>
    </w:p>
    <w:p w14:paraId="678ECAEB" w14:textId="060A2BB4" w:rsidR="00443011" w:rsidRPr="00015711" w:rsidRDefault="004964E4" w:rsidP="00E020D8">
      <w:pPr>
        <w:jc w:val="both"/>
        <w:rPr>
          <w:rFonts w:ascii="Arial" w:hAnsi="Arial" w:cs="Arial"/>
          <w:sz w:val="24"/>
          <w:szCs w:val="24"/>
        </w:rPr>
      </w:pPr>
      <w:r w:rsidRPr="00015711">
        <w:rPr>
          <w:rFonts w:ascii="Arial" w:hAnsi="Arial" w:cs="Arial"/>
          <w:sz w:val="24"/>
          <w:szCs w:val="24"/>
        </w:rPr>
        <w:t xml:space="preserve">La direttiva </w:t>
      </w:r>
      <w:r w:rsidR="001872FD" w:rsidRPr="00015711">
        <w:rPr>
          <w:rFonts w:ascii="Arial" w:hAnsi="Arial" w:cs="Arial"/>
          <w:sz w:val="24"/>
          <w:szCs w:val="24"/>
        </w:rPr>
        <w:t xml:space="preserve">prevede che gli </w:t>
      </w:r>
      <w:r w:rsidR="00F61AF0" w:rsidRPr="00015711">
        <w:rPr>
          <w:rFonts w:ascii="Arial" w:hAnsi="Arial" w:cs="Arial"/>
          <w:sz w:val="24"/>
          <w:szCs w:val="24"/>
        </w:rPr>
        <w:t>atti</w:t>
      </w:r>
      <w:r w:rsidR="001872FD" w:rsidRPr="00015711">
        <w:rPr>
          <w:rFonts w:ascii="Arial" w:hAnsi="Arial" w:cs="Arial"/>
          <w:sz w:val="24"/>
          <w:szCs w:val="24"/>
        </w:rPr>
        <w:t xml:space="preserve"> delegati della CE specifichino </w:t>
      </w:r>
      <w:r w:rsidR="00443011" w:rsidRPr="00015711">
        <w:rPr>
          <w:rFonts w:ascii="Arial" w:hAnsi="Arial" w:cs="Arial"/>
          <w:sz w:val="24"/>
          <w:szCs w:val="24"/>
        </w:rPr>
        <w:t>le informazioni da fornire e, se del caso, la struttura per la comunicazione delle informazioni.</w:t>
      </w:r>
    </w:p>
    <w:p w14:paraId="6F66087F" w14:textId="77777777" w:rsidR="00634591" w:rsidRPr="00015711" w:rsidRDefault="002528E9" w:rsidP="00634591">
      <w:pPr>
        <w:jc w:val="both"/>
        <w:rPr>
          <w:rFonts w:ascii="Arial" w:hAnsi="Arial" w:cs="Arial"/>
          <w:sz w:val="24"/>
          <w:szCs w:val="24"/>
        </w:rPr>
      </w:pPr>
      <w:r w:rsidRPr="00015711">
        <w:rPr>
          <w:rFonts w:ascii="Arial" w:hAnsi="Arial" w:cs="Arial"/>
          <w:sz w:val="24"/>
          <w:szCs w:val="24"/>
        </w:rPr>
        <w:t xml:space="preserve">Gli standard EFRAG </w:t>
      </w:r>
      <w:r w:rsidR="00AF04CE" w:rsidRPr="00015711">
        <w:rPr>
          <w:rFonts w:ascii="Arial" w:hAnsi="Arial" w:cs="Arial"/>
          <w:sz w:val="24"/>
          <w:szCs w:val="24"/>
        </w:rPr>
        <w:t>contengono</w:t>
      </w:r>
      <w:r w:rsidR="00DF3DFF" w:rsidRPr="00015711">
        <w:rPr>
          <w:rFonts w:ascii="Arial" w:hAnsi="Arial" w:cs="Arial"/>
          <w:sz w:val="24"/>
          <w:szCs w:val="24"/>
        </w:rPr>
        <w:t>, in una serie di passaggi,</w:t>
      </w:r>
      <w:r w:rsidR="00AF04CE" w:rsidRPr="00015711">
        <w:rPr>
          <w:rFonts w:ascii="Arial" w:hAnsi="Arial" w:cs="Arial"/>
          <w:sz w:val="24"/>
          <w:szCs w:val="24"/>
        </w:rPr>
        <w:t xml:space="preserve"> la precisazione secondo cui</w:t>
      </w:r>
      <w:r w:rsidR="003B0CE1" w:rsidRPr="00015711">
        <w:rPr>
          <w:rFonts w:ascii="Arial" w:hAnsi="Arial" w:cs="Arial"/>
          <w:sz w:val="24"/>
          <w:szCs w:val="24"/>
        </w:rPr>
        <w:t>,</w:t>
      </w:r>
      <w:r w:rsidR="00AF04CE" w:rsidRPr="00015711">
        <w:rPr>
          <w:rFonts w:ascii="Arial" w:hAnsi="Arial" w:cs="Arial"/>
          <w:sz w:val="24"/>
          <w:szCs w:val="24"/>
        </w:rPr>
        <w:t xml:space="preserve"> </w:t>
      </w:r>
      <w:r w:rsidR="00A36A5B" w:rsidRPr="00015711">
        <w:rPr>
          <w:rFonts w:ascii="Arial" w:hAnsi="Arial" w:cs="Arial"/>
          <w:sz w:val="24"/>
          <w:szCs w:val="24"/>
        </w:rPr>
        <w:t xml:space="preserve">al fine di una comunicazione </w:t>
      </w:r>
      <w:r w:rsidR="00C70571" w:rsidRPr="00015711">
        <w:rPr>
          <w:rFonts w:ascii="Arial" w:hAnsi="Arial" w:cs="Arial"/>
          <w:sz w:val="24"/>
          <w:szCs w:val="24"/>
        </w:rPr>
        <w:t>efficace</w:t>
      </w:r>
      <w:r w:rsidR="00A36A5B" w:rsidRPr="00015711">
        <w:rPr>
          <w:rFonts w:ascii="Arial" w:hAnsi="Arial" w:cs="Arial"/>
          <w:sz w:val="24"/>
          <w:szCs w:val="24"/>
        </w:rPr>
        <w:t xml:space="preserve"> e per evitare duplicazioni</w:t>
      </w:r>
      <w:r w:rsidR="003B0CE1" w:rsidRPr="00015711">
        <w:rPr>
          <w:rFonts w:ascii="Arial" w:hAnsi="Arial" w:cs="Arial"/>
          <w:sz w:val="24"/>
          <w:szCs w:val="24"/>
        </w:rPr>
        <w:t>,</w:t>
      </w:r>
      <w:r w:rsidR="00A36A5B" w:rsidRPr="00015711">
        <w:rPr>
          <w:rFonts w:ascii="Arial" w:hAnsi="Arial" w:cs="Arial"/>
          <w:sz w:val="24"/>
          <w:szCs w:val="24"/>
        </w:rPr>
        <w:t xml:space="preserve"> quando un’informazione richiesta </w:t>
      </w:r>
      <w:r w:rsidR="00C70571" w:rsidRPr="00015711">
        <w:rPr>
          <w:rFonts w:ascii="Arial" w:hAnsi="Arial" w:cs="Arial"/>
          <w:sz w:val="24"/>
          <w:szCs w:val="24"/>
        </w:rPr>
        <w:t>dagl</w:t>
      </w:r>
      <w:r w:rsidR="007D350D" w:rsidRPr="00015711">
        <w:rPr>
          <w:rFonts w:ascii="Arial" w:hAnsi="Arial" w:cs="Arial"/>
          <w:sz w:val="24"/>
          <w:szCs w:val="24"/>
        </w:rPr>
        <w:t>i</w:t>
      </w:r>
      <w:r w:rsidR="00C70571" w:rsidRPr="00015711">
        <w:rPr>
          <w:rFonts w:ascii="Arial" w:hAnsi="Arial" w:cs="Arial"/>
          <w:sz w:val="24"/>
          <w:szCs w:val="24"/>
        </w:rPr>
        <w:t xml:space="preserve"> standard è già contenuta in un’altra sezione della relazione di gestione</w:t>
      </w:r>
      <w:r w:rsidR="006650E9" w:rsidRPr="00015711">
        <w:rPr>
          <w:rFonts w:ascii="Arial" w:hAnsi="Arial" w:cs="Arial"/>
          <w:sz w:val="24"/>
          <w:szCs w:val="24"/>
        </w:rPr>
        <w:t>, il report di sostenibilità si può limitare ad effettuare un richiamo a tale sezione.</w:t>
      </w:r>
      <w:r w:rsidR="00715E84" w:rsidRPr="00015711">
        <w:rPr>
          <w:rFonts w:ascii="Arial" w:hAnsi="Arial" w:cs="Arial"/>
          <w:sz w:val="24"/>
          <w:szCs w:val="24"/>
        </w:rPr>
        <w:t xml:space="preserve"> </w:t>
      </w:r>
      <w:r w:rsidR="00CC312F" w:rsidRPr="00015711">
        <w:rPr>
          <w:rFonts w:ascii="Arial" w:hAnsi="Arial" w:cs="Arial"/>
          <w:sz w:val="24"/>
          <w:szCs w:val="24"/>
        </w:rPr>
        <w:t>Lo standard ESRS 1 sui principi generali</w:t>
      </w:r>
      <w:r w:rsidR="006F42DC" w:rsidRPr="00015711">
        <w:rPr>
          <w:rFonts w:ascii="Arial" w:hAnsi="Arial" w:cs="Arial"/>
          <w:sz w:val="24"/>
          <w:szCs w:val="24"/>
        </w:rPr>
        <w:t xml:space="preserve"> precisa che </w:t>
      </w:r>
      <w:r w:rsidR="006B1566" w:rsidRPr="00015711">
        <w:rPr>
          <w:rFonts w:ascii="Arial" w:hAnsi="Arial" w:cs="Arial"/>
          <w:sz w:val="24"/>
          <w:szCs w:val="24"/>
        </w:rPr>
        <w:t xml:space="preserve">gli elementi informativi richiesti </w:t>
      </w:r>
      <w:r w:rsidR="009F41BA" w:rsidRPr="00015711">
        <w:rPr>
          <w:rFonts w:ascii="Arial" w:hAnsi="Arial" w:cs="Arial"/>
          <w:sz w:val="24"/>
          <w:szCs w:val="24"/>
        </w:rPr>
        <w:t>possono essere incorporati quando inseriti in un’altra sezione della relazione di gestione</w:t>
      </w:r>
      <w:r w:rsidR="00D44EB0" w:rsidRPr="00015711">
        <w:rPr>
          <w:rFonts w:ascii="Arial" w:hAnsi="Arial" w:cs="Arial"/>
          <w:sz w:val="24"/>
          <w:szCs w:val="24"/>
        </w:rPr>
        <w:t>, mentre non è consentito il rinvio a documenti diversi</w:t>
      </w:r>
      <w:r w:rsidR="00567207" w:rsidRPr="00015711">
        <w:rPr>
          <w:rFonts w:ascii="Arial" w:hAnsi="Arial" w:cs="Arial"/>
          <w:sz w:val="24"/>
          <w:szCs w:val="24"/>
        </w:rPr>
        <w:t xml:space="preserve"> (ESRS1, par. 135).</w:t>
      </w:r>
      <w:r w:rsidR="00D44EB0" w:rsidRPr="00015711">
        <w:rPr>
          <w:rFonts w:ascii="Arial" w:hAnsi="Arial" w:cs="Arial"/>
          <w:sz w:val="24"/>
          <w:szCs w:val="24"/>
        </w:rPr>
        <w:t xml:space="preserve"> </w:t>
      </w:r>
    </w:p>
    <w:p w14:paraId="3B3A6D8D" w14:textId="5FFC300D" w:rsidR="00634591" w:rsidRPr="00015711" w:rsidRDefault="00091021" w:rsidP="00634591">
      <w:pPr>
        <w:jc w:val="both"/>
        <w:rPr>
          <w:rFonts w:ascii="Arial" w:hAnsi="Arial" w:cs="Arial"/>
          <w:sz w:val="24"/>
          <w:szCs w:val="24"/>
        </w:rPr>
      </w:pPr>
      <w:r w:rsidRPr="00015711">
        <w:rPr>
          <w:rFonts w:ascii="Arial" w:hAnsi="Arial" w:cs="Arial"/>
          <w:sz w:val="24"/>
          <w:szCs w:val="24"/>
        </w:rPr>
        <w:t xml:space="preserve">Tale limitazione non appare coerente con gli obblighi pubblicitari delle </w:t>
      </w:r>
      <w:r w:rsidR="00634591" w:rsidRPr="00015711">
        <w:rPr>
          <w:rFonts w:ascii="Arial" w:hAnsi="Arial" w:cs="Arial"/>
          <w:sz w:val="24"/>
          <w:szCs w:val="24"/>
        </w:rPr>
        <w:t xml:space="preserve">società quotate, </w:t>
      </w:r>
      <w:r w:rsidRPr="00015711">
        <w:rPr>
          <w:rFonts w:ascii="Arial" w:hAnsi="Arial" w:cs="Arial"/>
          <w:sz w:val="24"/>
          <w:szCs w:val="24"/>
        </w:rPr>
        <w:t xml:space="preserve">per le quali si prevede la possibilità di fornire informazioni sulla governance in </w:t>
      </w:r>
      <w:r w:rsidR="00634591" w:rsidRPr="00015711">
        <w:rPr>
          <w:rFonts w:ascii="Arial" w:hAnsi="Arial" w:cs="Arial"/>
          <w:sz w:val="24"/>
          <w:szCs w:val="24"/>
        </w:rPr>
        <w:t>documenti esterni rispetto alla relazione sulla gestione (es.</w:t>
      </w:r>
      <w:r w:rsidR="00634591" w:rsidRPr="00015711">
        <w:rPr>
          <w:sz w:val="24"/>
          <w:szCs w:val="24"/>
        </w:rPr>
        <w:t xml:space="preserve"> </w:t>
      </w:r>
      <w:r w:rsidR="00634591" w:rsidRPr="00015711">
        <w:rPr>
          <w:rFonts w:ascii="Arial" w:hAnsi="Arial" w:cs="Arial"/>
          <w:sz w:val="24"/>
          <w:szCs w:val="24"/>
        </w:rPr>
        <w:t>la relazione sul governo societario, la relazione sulla remunerazione).</w:t>
      </w:r>
    </w:p>
    <w:p w14:paraId="7C41F9DA" w14:textId="77777777" w:rsidR="00E75FE9" w:rsidRPr="00015711" w:rsidRDefault="00261340" w:rsidP="00E020D8">
      <w:pPr>
        <w:jc w:val="both"/>
        <w:rPr>
          <w:rFonts w:ascii="Arial" w:hAnsi="Arial" w:cs="Arial"/>
          <w:sz w:val="24"/>
          <w:szCs w:val="24"/>
        </w:rPr>
      </w:pPr>
      <w:r w:rsidRPr="00015711">
        <w:rPr>
          <w:rFonts w:ascii="Arial" w:hAnsi="Arial" w:cs="Arial"/>
          <w:sz w:val="24"/>
          <w:szCs w:val="24"/>
        </w:rPr>
        <w:t xml:space="preserve">La </w:t>
      </w:r>
      <w:r w:rsidR="00E37296" w:rsidRPr="00015711">
        <w:rPr>
          <w:rFonts w:ascii="Arial" w:hAnsi="Arial" w:cs="Arial"/>
          <w:sz w:val="24"/>
          <w:szCs w:val="24"/>
        </w:rPr>
        <w:t xml:space="preserve">modalità di formazione di un documento </w:t>
      </w:r>
      <w:r w:rsidR="00F61AF0" w:rsidRPr="00015711">
        <w:rPr>
          <w:rFonts w:ascii="Arial" w:hAnsi="Arial" w:cs="Arial"/>
          <w:sz w:val="24"/>
          <w:szCs w:val="24"/>
        </w:rPr>
        <w:t xml:space="preserve">attraverso la </w:t>
      </w:r>
      <w:r w:rsidRPr="00015711">
        <w:rPr>
          <w:rFonts w:ascii="Arial" w:hAnsi="Arial" w:cs="Arial"/>
          <w:sz w:val="24"/>
          <w:szCs w:val="24"/>
        </w:rPr>
        <w:t xml:space="preserve">tecnica del rinvio ad altre fonti informative </w:t>
      </w:r>
      <w:r w:rsidR="00CC1B5D" w:rsidRPr="00015711">
        <w:rPr>
          <w:rFonts w:ascii="Arial" w:hAnsi="Arial" w:cs="Arial"/>
          <w:sz w:val="24"/>
          <w:szCs w:val="24"/>
        </w:rPr>
        <w:t xml:space="preserve">(c.d. </w:t>
      </w:r>
      <w:proofErr w:type="spellStart"/>
      <w:r w:rsidR="00CC1B5D" w:rsidRPr="00015711">
        <w:rPr>
          <w:rFonts w:ascii="Arial" w:hAnsi="Arial" w:cs="Arial"/>
          <w:i/>
          <w:iCs/>
          <w:sz w:val="24"/>
          <w:szCs w:val="24"/>
        </w:rPr>
        <w:t>incorporation</w:t>
      </w:r>
      <w:proofErr w:type="spellEnd"/>
      <w:r w:rsidR="00CC1B5D" w:rsidRPr="00015711">
        <w:rPr>
          <w:rFonts w:ascii="Arial" w:hAnsi="Arial" w:cs="Arial"/>
          <w:i/>
          <w:iCs/>
          <w:sz w:val="24"/>
          <w:szCs w:val="24"/>
        </w:rPr>
        <w:t xml:space="preserve"> by </w:t>
      </w:r>
      <w:proofErr w:type="spellStart"/>
      <w:r w:rsidR="00CC1B5D" w:rsidRPr="00015711">
        <w:rPr>
          <w:rFonts w:ascii="Arial" w:hAnsi="Arial" w:cs="Arial"/>
          <w:i/>
          <w:iCs/>
          <w:sz w:val="24"/>
          <w:szCs w:val="24"/>
        </w:rPr>
        <w:t>reference</w:t>
      </w:r>
      <w:proofErr w:type="spellEnd"/>
      <w:r w:rsidR="00CC1B5D" w:rsidRPr="00015711">
        <w:rPr>
          <w:rFonts w:ascii="Arial" w:hAnsi="Arial" w:cs="Arial"/>
          <w:sz w:val="24"/>
          <w:szCs w:val="24"/>
        </w:rPr>
        <w:t xml:space="preserve">) è un principio </w:t>
      </w:r>
      <w:r w:rsidR="00B745F7" w:rsidRPr="00015711">
        <w:rPr>
          <w:rFonts w:ascii="Arial" w:hAnsi="Arial" w:cs="Arial"/>
          <w:sz w:val="24"/>
          <w:szCs w:val="24"/>
        </w:rPr>
        <w:t xml:space="preserve">assolutamente rilevante per evitare duplicazioni </w:t>
      </w:r>
      <w:r w:rsidR="00D61989" w:rsidRPr="00015711">
        <w:rPr>
          <w:rFonts w:ascii="Arial" w:hAnsi="Arial" w:cs="Arial"/>
          <w:sz w:val="24"/>
          <w:szCs w:val="24"/>
        </w:rPr>
        <w:t>informative</w:t>
      </w:r>
      <w:r w:rsidR="00B745F7" w:rsidRPr="00015711">
        <w:rPr>
          <w:rFonts w:ascii="Arial" w:hAnsi="Arial" w:cs="Arial"/>
          <w:sz w:val="24"/>
          <w:szCs w:val="24"/>
        </w:rPr>
        <w:t xml:space="preserve"> a vantaggio anche dei</w:t>
      </w:r>
      <w:r w:rsidR="00295D20" w:rsidRPr="00015711">
        <w:rPr>
          <w:rFonts w:ascii="Arial" w:hAnsi="Arial" w:cs="Arial"/>
          <w:sz w:val="24"/>
          <w:szCs w:val="24"/>
        </w:rPr>
        <w:t xml:space="preserve"> destinatari dei </w:t>
      </w:r>
      <w:r w:rsidR="00D61989" w:rsidRPr="00015711">
        <w:rPr>
          <w:rFonts w:ascii="Arial" w:hAnsi="Arial" w:cs="Arial"/>
          <w:sz w:val="24"/>
          <w:szCs w:val="24"/>
        </w:rPr>
        <w:t>documenti</w:t>
      </w:r>
      <w:r w:rsidR="00295D20" w:rsidRPr="00015711">
        <w:rPr>
          <w:rFonts w:ascii="Arial" w:hAnsi="Arial" w:cs="Arial"/>
          <w:sz w:val="24"/>
          <w:szCs w:val="24"/>
        </w:rPr>
        <w:t>.</w:t>
      </w:r>
      <w:r w:rsidR="00D61989" w:rsidRPr="00015711">
        <w:rPr>
          <w:rFonts w:ascii="Arial" w:hAnsi="Arial" w:cs="Arial"/>
          <w:sz w:val="24"/>
          <w:szCs w:val="24"/>
        </w:rPr>
        <w:t xml:space="preserve"> </w:t>
      </w:r>
      <w:r w:rsidR="0066207F" w:rsidRPr="00015711">
        <w:rPr>
          <w:rFonts w:ascii="Arial" w:hAnsi="Arial" w:cs="Arial"/>
          <w:sz w:val="24"/>
          <w:szCs w:val="24"/>
        </w:rPr>
        <w:t xml:space="preserve">A tale </w:t>
      </w:r>
      <w:r w:rsidR="0066207F" w:rsidRPr="00015711">
        <w:rPr>
          <w:rFonts w:ascii="Arial" w:hAnsi="Arial" w:cs="Arial"/>
          <w:sz w:val="24"/>
          <w:szCs w:val="24"/>
        </w:rPr>
        <w:lastRenderedPageBreak/>
        <w:t xml:space="preserve">riguardo, </w:t>
      </w:r>
      <w:r w:rsidR="00DA5658" w:rsidRPr="00015711">
        <w:rPr>
          <w:rFonts w:ascii="Arial" w:hAnsi="Arial" w:cs="Arial"/>
          <w:sz w:val="24"/>
          <w:szCs w:val="24"/>
        </w:rPr>
        <w:t>n</w:t>
      </w:r>
      <w:r w:rsidR="00D61989" w:rsidRPr="00015711">
        <w:rPr>
          <w:rFonts w:ascii="Arial" w:hAnsi="Arial" w:cs="Arial"/>
          <w:sz w:val="24"/>
          <w:szCs w:val="24"/>
        </w:rPr>
        <w:t xml:space="preserve">on appare </w:t>
      </w:r>
      <w:r w:rsidR="008F799F" w:rsidRPr="00015711">
        <w:rPr>
          <w:rFonts w:ascii="Arial" w:hAnsi="Arial" w:cs="Arial"/>
          <w:sz w:val="24"/>
          <w:szCs w:val="24"/>
        </w:rPr>
        <w:t xml:space="preserve">giustificata la limitazione di </w:t>
      </w:r>
      <w:r w:rsidR="007F66BB" w:rsidRPr="00015711">
        <w:rPr>
          <w:rFonts w:ascii="Arial" w:hAnsi="Arial" w:cs="Arial"/>
          <w:sz w:val="24"/>
          <w:szCs w:val="24"/>
        </w:rPr>
        <w:t>questa</w:t>
      </w:r>
      <w:r w:rsidR="008F799F" w:rsidRPr="00015711">
        <w:rPr>
          <w:rFonts w:ascii="Arial" w:hAnsi="Arial" w:cs="Arial"/>
          <w:sz w:val="24"/>
          <w:szCs w:val="24"/>
        </w:rPr>
        <w:t xml:space="preserve"> tecnica alla sola ipotesi in cui </w:t>
      </w:r>
      <w:r w:rsidR="006435EE" w:rsidRPr="00015711">
        <w:rPr>
          <w:rFonts w:ascii="Arial" w:hAnsi="Arial" w:cs="Arial"/>
          <w:sz w:val="24"/>
          <w:szCs w:val="24"/>
        </w:rPr>
        <w:t xml:space="preserve">le informazioni </w:t>
      </w:r>
      <w:r w:rsidR="00DA5658" w:rsidRPr="00015711">
        <w:rPr>
          <w:rFonts w:ascii="Arial" w:hAnsi="Arial" w:cs="Arial"/>
          <w:sz w:val="24"/>
          <w:szCs w:val="24"/>
        </w:rPr>
        <w:t xml:space="preserve">da fornire </w:t>
      </w:r>
      <w:r w:rsidR="006435EE" w:rsidRPr="00015711">
        <w:rPr>
          <w:rFonts w:ascii="Arial" w:hAnsi="Arial" w:cs="Arial"/>
          <w:sz w:val="24"/>
          <w:szCs w:val="24"/>
        </w:rPr>
        <w:t>sono contenute in altre sezioni della relazione di gestione.</w:t>
      </w:r>
      <w:r w:rsidR="00295D20" w:rsidRPr="00015711">
        <w:rPr>
          <w:rFonts w:ascii="Arial" w:hAnsi="Arial" w:cs="Arial"/>
          <w:sz w:val="24"/>
          <w:szCs w:val="24"/>
        </w:rPr>
        <w:t xml:space="preserve"> </w:t>
      </w:r>
      <w:r w:rsidR="007F66BB" w:rsidRPr="00015711">
        <w:rPr>
          <w:rFonts w:ascii="Arial" w:hAnsi="Arial" w:cs="Arial"/>
          <w:sz w:val="24"/>
          <w:szCs w:val="24"/>
        </w:rPr>
        <w:t xml:space="preserve">Una limitazione </w:t>
      </w:r>
      <w:r w:rsidR="001B1FA4" w:rsidRPr="00015711">
        <w:rPr>
          <w:rFonts w:ascii="Arial" w:hAnsi="Arial" w:cs="Arial"/>
          <w:sz w:val="24"/>
          <w:szCs w:val="24"/>
        </w:rPr>
        <w:t xml:space="preserve">del rinvio </w:t>
      </w:r>
      <w:r w:rsidR="00D43909" w:rsidRPr="00015711">
        <w:rPr>
          <w:rFonts w:ascii="Arial" w:hAnsi="Arial" w:cs="Arial"/>
          <w:sz w:val="24"/>
          <w:szCs w:val="24"/>
        </w:rPr>
        <w:t xml:space="preserve">ad altre fonti informative </w:t>
      </w:r>
      <w:r w:rsidR="001B1FA4" w:rsidRPr="00015711">
        <w:rPr>
          <w:rFonts w:ascii="Arial" w:hAnsi="Arial" w:cs="Arial"/>
          <w:sz w:val="24"/>
          <w:szCs w:val="24"/>
        </w:rPr>
        <w:t xml:space="preserve">può trovare </w:t>
      </w:r>
      <w:r w:rsidR="00D43909" w:rsidRPr="00015711">
        <w:rPr>
          <w:rFonts w:ascii="Arial" w:hAnsi="Arial" w:cs="Arial"/>
          <w:sz w:val="24"/>
          <w:szCs w:val="24"/>
        </w:rPr>
        <w:t xml:space="preserve">una </w:t>
      </w:r>
      <w:r w:rsidR="001B1FA4" w:rsidRPr="00015711">
        <w:rPr>
          <w:rFonts w:ascii="Arial" w:hAnsi="Arial" w:cs="Arial"/>
          <w:sz w:val="24"/>
          <w:szCs w:val="24"/>
        </w:rPr>
        <w:t xml:space="preserve">giustificazione solo quando il richiamo </w:t>
      </w:r>
      <w:r w:rsidR="009C0951" w:rsidRPr="00015711">
        <w:rPr>
          <w:rFonts w:ascii="Arial" w:hAnsi="Arial" w:cs="Arial"/>
          <w:sz w:val="24"/>
          <w:szCs w:val="24"/>
        </w:rPr>
        <w:t xml:space="preserve">riguardi un documento di difficile reperimento </w:t>
      </w:r>
      <w:r w:rsidR="00D43909" w:rsidRPr="00015711">
        <w:rPr>
          <w:rFonts w:ascii="Arial" w:hAnsi="Arial" w:cs="Arial"/>
          <w:sz w:val="24"/>
          <w:szCs w:val="24"/>
        </w:rPr>
        <w:t xml:space="preserve">tale </w:t>
      </w:r>
      <w:r w:rsidR="008B65DF" w:rsidRPr="00015711">
        <w:rPr>
          <w:rFonts w:ascii="Arial" w:hAnsi="Arial" w:cs="Arial"/>
          <w:sz w:val="24"/>
          <w:szCs w:val="24"/>
        </w:rPr>
        <w:t>da determinare una lesione del</w:t>
      </w:r>
      <w:r w:rsidR="00D43909" w:rsidRPr="00015711">
        <w:rPr>
          <w:rFonts w:ascii="Arial" w:hAnsi="Arial" w:cs="Arial"/>
          <w:sz w:val="24"/>
          <w:szCs w:val="24"/>
        </w:rPr>
        <w:t xml:space="preserve">l’interesse del terzo </w:t>
      </w:r>
      <w:r w:rsidR="00A31C22" w:rsidRPr="00015711">
        <w:rPr>
          <w:rFonts w:ascii="Arial" w:hAnsi="Arial" w:cs="Arial"/>
          <w:sz w:val="24"/>
          <w:szCs w:val="24"/>
        </w:rPr>
        <w:t>all</w:t>
      </w:r>
      <w:r w:rsidR="008B65DF" w:rsidRPr="00015711">
        <w:rPr>
          <w:rFonts w:ascii="Arial" w:hAnsi="Arial" w:cs="Arial"/>
          <w:sz w:val="24"/>
          <w:szCs w:val="24"/>
        </w:rPr>
        <w:t xml:space="preserve">a fruibilità </w:t>
      </w:r>
      <w:r w:rsidR="00A31C22" w:rsidRPr="00015711">
        <w:rPr>
          <w:rFonts w:ascii="Arial" w:hAnsi="Arial" w:cs="Arial"/>
          <w:sz w:val="24"/>
          <w:szCs w:val="24"/>
        </w:rPr>
        <w:t>dell’informazione</w:t>
      </w:r>
      <w:r w:rsidR="008B65DF" w:rsidRPr="00015711">
        <w:rPr>
          <w:rFonts w:ascii="Arial" w:hAnsi="Arial" w:cs="Arial"/>
          <w:sz w:val="24"/>
          <w:szCs w:val="24"/>
        </w:rPr>
        <w:t>.</w:t>
      </w:r>
    </w:p>
    <w:p w14:paraId="4A01A0CA" w14:textId="4361B01B" w:rsidR="001C1A18" w:rsidRPr="00015711" w:rsidRDefault="00E75FE9" w:rsidP="006038E6">
      <w:pPr>
        <w:jc w:val="both"/>
        <w:rPr>
          <w:rFonts w:ascii="Arial" w:hAnsi="Arial" w:cs="Arial"/>
          <w:sz w:val="24"/>
          <w:szCs w:val="24"/>
        </w:rPr>
      </w:pPr>
      <w:r w:rsidRPr="00015711">
        <w:rPr>
          <w:rFonts w:ascii="Arial" w:hAnsi="Arial" w:cs="Arial"/>
          <w:sz w:val="24"/>
          <w:szCs w:val="24"/>
        </w:rPr>
        <w:t xml:space="preserve">È da sottolineare come </w:t>
      </w:r>
      <w:r w:rsidR="008B2BDC" w:rsidRPr="00015711">
        <w:rPr>
          <w:rFonts w:ascii="Arial" w:hAnsi="Arial" w:cs="Arial"/>
          <w:sz w:val="24"/>
          <w:szCs w:val="24"/>
        </w:rPr>
        <w:t>gli stessi standard EFRAG non s</w:t>
      </w:r>
      <w:r w:rsidR="00C64C76" w:rsidRPr="00015711">
        <w:rPr>
          <w:rFonts w:ascii="Arial" w:hAnsi="Arial" w:cs="Arial"/>
          <w:sz w:val="24"/>
          <w:szCs w:val="24"/>
        </w:rPr>
        <w:t>ia</w:t>
      </w:r>
      <w:r w:rsidR="008B2BDC" w:rsidRPr="00015711">
        <w:rPr>
          <w:rFonts w:ascii="Arial" w:hAnsi="Arial" w:cs="Arial"/>
          <w:sz w:val="24"/>
          <w:szCs w:val="24"/>
        </w:rPr>
        <w:t>no coerenti con questa indicazione generale</w:t>
      </w:r>
      <w:r w:rsidR="008429E9" w:rsidRPr="00015711">
        <w:rPr>
          <w:rFonts w:ascii="Arial" w:hAnsi="Arial" w:cs="Arial"/>
          <w:sz w:val="24"/>
          <w:szCs w:val="24"/>
        </w:rPr>
        <w:t xml:space="preserve"> contenuta nel ESRS1.</w:t>
      </w:r>
      <w:r w:rsidR="008B65DF" w:rsidRPr="00015711">
        <w:rPr>
          <w:rFonts w:ascii="Arial" w:hAnsi="Arial" w:cs="Arial"/>
          <w:sz w:val="24"/>
          <w:szCs w:val="24"/>
        </w:rPr>
        <w:t xml:space="preserve"> </w:t>
      </w:r>
      <w:r w:rsidR="008429E9" w:rsidRPr="00015711">
        <w:rPr>
          <w:rFonts w:ascii="Arial" w:hAnsi="Arial" w:cs="Arial"/>
          <w:sz w:val="24"/>
          <w:szCs w:val="24"/>
        </w:rPr>
        <w:t>Ad esempio</w:t>
      </w:r>
      <w:r w:rsidR="006038E6" w:rsidRPr="00015711">
        <w:rPr>
          <w:rFonts w:ascii="Arial" w:hAnsi="Arial" w:cs="Arial"/>
          <w:sz w:val="24"/>
          <w:szCs w:val="24"/>
        </w:rPr>
        <w:t xml:space="preserve">, nelle </w:t>
      </w:r>
      <w:proofErr w:type="spellStart"/>
      <w:r w:rsidR="006038E6" w:rsidRPr="00015711">
        <w:rPr>
          <w:rFonts w:ascii="Arial" w:hAnsi="Arial" w:cs="Arial"/>
          <w:i/>
          <w:iCs/>
          <w:sz w:val="24"/>
          <w:szCs w:val="24"/>
        </w:rPr>
        <w:t>Basis</w:t>
      </w:r>
      <w:proofErr w:type="spellEnd"/>
      <w:r w:rsidR="006038E6" w:rsidRPr="00015711">
        <w:rPr>
          <w:rFonts w:ascii="Arial" w:hAnsi="Arial" w:cs="Arial"/>
          <w:i/>
          <w:iCs/>
          <w:sz w:val="24"/>
          <w:szCs w:val="24"/>
        </w:rPr>
        <w:t xml:space="preserve"> for </w:t>
      </w:r>
      <w:proofErr w:type="spellStart"/>
      <w:r w:rsidR="006038E6" w:rsidRPr="00015711">
        <w:rPr>
          <w:rFonts w:ascii="Arial" w:hAnsi="Arial" w:cs="Arial"/>
          <w:i/>
          <w:iCs/>
          <w:sz w:val="24"/>
          <w:szCs w:val="24"/>
        </w:rPr>
        <w:t>Conclusions</w:t>
      </w:r>
      <w:proofErr w:type="spellEnd"/>
      <w:r w:rsidR="006038E6" w:rsidRPr="00015711">
        <w:rPr>
          <w:rFonts w:ascii="Arial" w:hAnsi="Arial" w:cs="Arial"/>
          <w:sz w:val="24"/>
          <w:szCs w:val="24"/>
        </w:rPr>
        <w:t xml:space="preserve"> relativo allo standard G2, con riferimento all’informativa relativa al titolare effettivo, si afferma che è sufficiente il riferimento al Registro dei titolari effettivi istituito in ciascun Stato membro </w:t>
      </w:r>
      <w:r w:rsidR="001C1A18" w:rsidRPr="00015711">
        <w:rPr>
          <w:rFonts w:ascii="Arial" w:hAnsi="Arial" w:cs="Arial"/>
          <w:sz w:val="24"/>
          <w:szCs w:val="24"/>
        </w:rPr>
        <w:t>(</w:t>
      </w:r>
      <w:r w:rsidR="006038E6" w:rsidRPr="00015711">
        <w:rPr>
          <w:rFonts w:ascii="Arial" w:hAnsi="Arial" w:cs="Arial"/>
          <w:sz w:val="24"/>
          <w:szCs w:val="24"/>
        </w:rPr>
        <w:t>ai sensi della Direttiva UE 84</w:t>
      </w:r>
      <w:r w:rsidR="005E1841" w:rsidRPr="00015711">
        <w:rPr>
          <w:rFonts w:ascii="Arial" w:hAnsi="Arial" w:cs="Arial"/>
          <w:sz w:val="24"/>
          <w:szCs w:val="24"/>
        </w:rPr>
        <w:t>9</w:t>
      </w:r>
      <w:r w:rsidR="006038E6" w:rsidRPr="00015711">
        <w:rPr>
          <w:rFonts w:ascii="Arial" w:hAnsi="Arial" w:cs="Arial"/>
          <w:sz w:val="24"/>
          <w:szCs w:val="24"/>
        </w:rPr>
        <w:t>/201</w:t>
      </w:r>
      <w:r w:rsidR="005E1841" w:rsidRPr="00015711">
        <w:rPr>
          <w:rFonts w:ascii="Arial" w:hAnsi="Arial" w:cs="Arial"/>
          <w:sz w:val="24"/>
          <w:szCs w:val="24"/>
        </w:rPr>
        <w:t>5</w:t>
      </w:r>
      <w:r w:rsidR="001C1A18" w:rsidRPr="00015711">
        <w:rPr>
          <w:rFonts w:ascii="Arial" w:hAnsi="Arial" w:cs="Arial"/>
          <w:sz w:val="24"/>
          <w:szCs w:val="24"/>
        </w:rPr>
        <w:t>)</w:t>
      </w:r>
      <w:r w:rsidR="006038E6" w:rsidRPr="00015711">
        <w:rPr>
          <w:rFonts w:ascii="Arial" w:hAnsi="Arial" w:cs="Arial"/>
          <w:sz w:val="24"/>
          <w:szCs w:val="24"/>
        </w:rPr>
        <w:t>.</w:t>
      </w:r>
      <w:r w:rsidR="00584983" w:rsidRPr="00015711">
        <w:rPr>
          <w:rFonts w:ascii="Arial" w:hAnsi="Arial" w:cs="Arial"/>
          <w:sz w:val="24"/>
          <w:szCs w:val="24"/>
        </w:rPr>
        <w:t xml:space="preserve"> Anche con </w:t>
      </w:r>
      <w:r w:rsidR="00E57E22" w:rsidRPr="00015711">
        <w:rPr>
          <w:rFonts w:ascii="Arial" w:hAnsi="Arial" w:cs="Arial"/>
          <w:sz w:val="24"/>
          <w:szCs w:val="24"/>
        </w:rPr>
        <w:t>riferimento agli standard s</w:t>
      </w:r>
      <w:r w:rsidR="008B4CEF" w:rsidRPr="00015711">
        <w:rPr>
          <w:rFonts w:ascii="Arial" w:hAnsi="Arial" w:cs="Arial"/>
          <w:sz w:val="24"/>
          <w:szCs w:val="24"/>
        </w:rPr>
        <w:t>ociali</w:t>
      </w:r>
      <w:r w:rsidR="00BA4263" w:rsidRPr="00015711">
        <w:rPr>
          <w:rFonts w:ascii="Arial" w:hAnsi="Arial" w:cs="Arial"/>
          <w:sz w:val="24"/>
          <w:szCs w:val="24"/>
        </w:rPr>
        <w:t xml:space="preserve"> si </w:t>
      </w:r>
      <w:r w:rsidR="00580316" w:rsidRPr="00015711">
        <w:rPr>
          <w:rFonts w:ascii="Arial" w:hAnsi="Arial" w:cs="Arial"/>
          <w:sz w:val="24"/>
          <w:szCs w:val="24"/>
        </w:rPr>
        <w:t xml:space="preserve">osserva come </w:t>
      </w:r>
      <w:r w:rsidR="00985D43" w:rsidRPr="00015711">
        <w:rPr>
          <w:rFonts w:ascii="Arial" w:hAnsi="Arial" w:cs="Arial"/>
          <w:sz w:val="24"/>
          <w:szCs w:val="24"/>
        </w:rPr>
        <w:t>le informazioni s</w:t>
      </w:r>
      <w:r w:rsidR="00E57E22" w:rsidRPr="00015711">
        <w:rPr>
          <w:rFonts w:ascii="Arial" w:hAnsi="Arial" w:cs="Arial"/>
          <w:sz w:val="24"/>
          <w:szCs w:val="24"/>
        </w:rPr>
        <w:t xml:space="preserve">ulla </w:t>
      </w:r>
      <w:r w:rsidR="00985D43" w:rsidRPr="00015711">
        <w:rPr>
          <w:rFonts w:ascii="Arial" w:hAnsi="Arial" w:cs="Arial"/>
          <w:sz w:val="24"/>
          <w:szCs w:val="24"/>
        </w:rPr>
        <w:t xml:space="preserve">politica relativa alla </w:t>
      </w:r>
      <w:r w:rsidR="00E57E22" w:rsidRPr="00015711">
        <w:rPr>
          <w:rFonts w:ascii="Arial" w:hAnsi="Arial" w:cs="Arial"/>
          <w:sz w:val="24"/>
          <w:szCs w:val="24"/>
        </w:rPr>
        <w:t>forza lavoro</w:t>
      </w:r>
      <w:r w:rsidR="00212B23" w:rsidRPr="00015711">
        <w:rPr>
          <w:rFonts w:ascii="Arial" w:hAnsi="Arial" w:cs="Arial"/>
          <w:sz w:val="24"/>
          <w:szCs w:val="24"/>
        </w:rPr>
        <w:t>, comunità locali e consumatori/utenti finali</w:t>
      </w:r>
      <w:r w:rsidR="00E57E22" w:rsidRPr="00015711">
        <w:rPr>
          <w:rFonts w:ascii="Arial" w:hAnsi="Arial" w:cs="Arial"/>
          <w:sz w:val="24"/>
          <w:szCs w:val="24"/>
        </w:rPr>
        <w:t xml:space="preserve"> </w:t>
      </w:r>
      <w:r w:rsidR="00C72335" w:rsidRPr="00015711">
        <w:rPr>
          <w:rFonts w:ascii="Arial" w:hAnsi="Arial" w:cs="Arial"/>
          <w:sz w:val="24"/>
          <w:szCs w:val="24"/>
        </w:rPr>
        <w:t xml:space="preserve">potranno essere fornire </w:t>
      </w:r>
      <w:r w:rsidR="00396ADE" w:rsidRPr="00015711">
        <w:rPr>
          <w:rFonts w:ascii="Arial" w:hAnsi="Arial" w:cs="Arial"/>
          <w:sz w:val="24"/>
          <w:szCs w:val="24"/>
        </w:rPr>
        <w:t xml:space="preserve">direttamente </w:t>
      </w:r>
      <w:r w:rsidR="00C72335" w:rsidRPr="00015711">
        <w:rPr>
          <w:rFonts w:ascii="Arial" w:hAnsi="Arial" w:cs="Arial"/>
          <w:sz w:val="24"/>
          <w:szCs w:val="24"/>
        </w:rPr>
        <w:t xml:space="preserve">con </w:t>
      </w:r>
      <w:r w:rsidR="00396ADE" w:rsidRPr="00015711">
        <w:rPr>
          <w:rFonts w:ascii="Arial" w:hAnsi="Arial" w:cs="Arial"/>
          <w:sz w:val="24"/>
          <w:szCs w:val="24"/>
        </w:rPr>
        <w:t>un link</w:t>
      </w:r>
      <w:r w:rsidR="00A02ECA" w:rsidRPr="00015711">
        <w:rPr>
          <w:rFonts w:ascii="Arial" w:hAnsi="Arial" w:cs="Arial"/>
          <w:sz w:val="24"/>
          <w:szCs w:val="24"/>
        </w:rPr>
        <w:t>, se sono state pubblicate</w:t>
      </w:r>
      <w:r w:rsidR="00396ADE" w:rsidRPr="00015711">
        <w:rPr>
          <w:rFonts w:ascii="Arial" w:hAnsi="Arial" w:cs="Arial"/>
          <w:sz w:val="24"/>
          <w:szCs w:val="24"/>
        </w:rPr>
        <w:t>.</w:t>
      </w:r>
      <w:r w:rsidR="006038E6" w:rsidRPr="00015711">
        <w:rPr>
          <w:rFonts w:ascii="Arial" w:hAnsi="Arial" w:cs="Arial"/>
          <w:sz w:val="24"/>
          <w:szCs w:val="24"/>
        </w:rPr>
        <w:t xml:space="preserve"> </w:t>
      </w:r>
    </w:p>
    <w:p w14:paraId="72B18922" w14:textId="77777777" w:rsidR="009702D6" w:rsidRPr="00015711" w:rsidRDefault="00875C90" w:rsidP="00E020D8">
      <w:pPr>
        <w:jc w:val="both"/>
        <w:rPr>
          <w:rFonts w:ascii="Arial" w:hAnsi="Arial" w:cs="Arial"/>
          <w:sz w:val="24"/>
          <w:szCs w:val="24"/>
        </w:rPr>
      </w:pPr>
      <w:r w:rsidRPr="00015711">
        <w:rPr>
          <w:rFonts w:ascii="Arial" w:hAnsi="Arial" w:cs="Arial"/>
          <w:sz w:val="24"/>
          <w:szCs w:val="24"/>
        </w:rPr>
        <w:t xml:space="preserve">In conclusione, </w:t>
      </w:r>
      <w:r w:rsidR="003D6DEA" w:rsidRPr="00015711">
        <w:rPr>
          <w:rFonts w:ascii="Arial" w:hAnsi="Arial" w:cs="Arial"/>
          <w:sz w:val="24"/>
          <w:szCs w:val="24"/>
        </w:rPr>
        <w:t xml:space="preserve">la possibilità </w:t>
      </w:r>
      <w:r w:rsidR="00317AC9" w:rsidRPr="00015711">
        <w:rPr>
          <w:rFonts w:ascii="Arial" w:hAnsi="Arial" w:cs="Arial"/>
          <w:sz w:val="24"/>
          <w:szCs w:val="24"/>
        </w:rPr>
        <w:t xml:space="preserve">di rinvio ad altri documenti non deve essere limitata </w:t>
      </w:r>
      <w:r w:rsidR="00914F0F" w:rsidRPr="00015711">
        <w:rPr>
          <w:rFonts w:ascii="Arial" w:hAnsi="Arial" w:cs="Arial"/>
          <w:sz w:val="24"/>
          <w:szCs w:val="24"/>
        </w:rPr>
        <w:t xml:space="preserve">solo ad </w:t>
      </w:r>
      <w:r w:rsidR="004055EB" w:rsidRPr="00015711">
        <w:rPr>
          <w:rFonts w:ascii="Arial" w:hAnsi="Arial" w:cs="Arial"/>
          <w:sz w:val="24"/>
          <w:szCs w:val="24"/>
        </w:rPr>
        <w:t>altre sezioni</w:t>
      </w:r>
      <w:r w:rsidR="00914F0F" w:rsidRPr="00015711">
        <w:rPr>
          <w:rFonts w:ascii="Arial" w:hAnsi="Arial" w:cs="Arial"/>
          <w:sz w:val="24"/>
          <w:szCs w:val="24"/>
        </w:rPr>
        <w:t xml:space="preserve"> </w:t>
      </w:r>
      <w:r w:rsidR="004055EB" w:rsidRPr="00015711">
        <w:rPr>
          <w:rFonts w:ascii="Arial" w:hAnsi="Arial" w:cs="Arial"/>
          <w:sz w:val="24"/>
          <w:szCs w:val="24"/>
        </w:rPr>
        <w:t>della</w:t>
      </w:r>
      <w:r w:rsidR="00914F0F" w:rsidRPr="00015711">
        <w:rPr>
          <w:rFonts w:ascii="Arial" w:hAnsi="Arial" w:cs="Arial"/>
          <w:sz w:val="24"/>
          <w:szCs w:val="24"/>
        </w:rPr>
        <w:t xml:space="preserve"> relazione di gestione ma anche a</w:t>
      </w:r>
      <w:r w:rsidR="00317AC9" w:rsidRPr="00015711">
        <w:rPr>
          <w:rFonts w:ascii="Arial" w:hAnsi="Arial" w:cs="Arial"/>
          <w:sz w:val="24"/>
          <w:szCs w:val="24"/>
        </w:rPr>
        <w:t xml:space="preserve"> tutti gl</w:t>
      </w:r>
      <w:r w:rsidR="00AC4509" w:rsidRPr="00015711">
        <w:rPr>
          <w:rFonts w:ascii="Arial" w:hAnsi="Arial" w:cs="Arial"/>
          <w:sz w:val="24"/>
          <w:szCs w:val="24"/>
        </w:rPr>
        <w:t xml:space="preserve">i </w:t>
      </w:r>
      <w:r w:rsidR="00914F0F" w:rsidRPr="00015711">
        <w:rPr>
          <w:rFonts w:ascii="Arial" w:hAnsi="Arial" w:cs="Arial"/>
          <w:sz w:val="24"/>
          <w:szCs w:val="24"/>
        </w:rPr>
        <w:t xml:space="preserve">altri documenti </w:t>
      </w:r>
      <w:r w:rsidR="004055EB" w:rsidRPr="00015711">
        <w:rPr>
          <w:rFonts w:ascii="Arial" w:hAnsi="Arial" w:cs="Arial"/>
          <w:sz w:val="24"/>
          <w:szCs w:val="24"/>
        </w:rPr>
        <w:t xml:space="preserve">informativi </w:t>
      </w:r>
      <w:r w:rsidR="00AC4509" w:rsidRPr="00015711">
        <w:rPr>
          <w:rFonts w:ascii="Arial" w:hAnsi="Arial" w:cs="Arial"/>
          <w:sz w:val="24"/>
          <w:szCs w:val="24"/>
        </w:rPr>
        <w:t xml:space="preserve">pubblicati dalla società </w:t>
      </w:r>
      <w:r w:rsidR="004055EB" w:rsidRPr="00015711">
        <w:rPr>
          <w:rFonts w:ascii="Arial" w:hAnsi="Arial" w:cs="Arial"/>
          <w:sz w:val="24"/>
          <w:szCs w:val="24"/>
        </w:rPr>
        <w:t xml:space="preserve">che sono resi </w:t>
      </w:r>
      <w:r w:rsidR="00330E71" w:rsidRPr="00015711">
        <w:rPr>
          <w:rFonts w:ascii="Arial" w:hAnsi="Arial" w:cs="Arial"/>
          <w:sz w:val="24"/>
          <w:szCs w:val="24"/>
        </w:rPr>
        <w:t>liberamente consultabili dal pubblico in forma gratuita</w:t>
      </w:r>
      <w:r w:rsidR="009702D6" w:rsidRPr="00015711">
        <w:rPr>
          <w:rFonts w:ascii="Arial" w:hAnsi="Arial" w:cs="Arial"/>
          <w:sz w:val="24"/>
          <w:szCs w:val="24"/>
        </w:rPr>
        <w:t>.</w:t>
      </w:r>
    </w:p>
    <w:p w14:paraId="14B76E26" w14:textId="102C99E8" w:rsidR="00DB6D97" w:rsidRDefault="00952119" w:rsidP="00E020D8">
      <w:pPr>
        <w:jc w:val="both"/>
        <w:rPr>
          <w:rFonts w:ascii="Arial" w:hAnsi="Arial" w:cs="Arial"/>
          <w:sz w:val="24"/>
          <w:szCs w:val="24"/>
        </w:rPr>
      </w:pPr>
      <w:r w:rsidRPr="00015711">
        <w:rPr>
          <w:rFonts w:ascii="Arial" w:hAnsi="Arial" w:cs="Arial"/>
          <w:sz w:val="24"/>
          <w:szCs w:val="24"/>
        </w:rPr>
        <w:t>Lo standard ESRS 1 sui principi generali</w:t>
      </w:r>
      <w:r w:rsidR="001E3BDA" w:rsidRPr="00015711">
        <w:rPr>
          <w:rFonts w:ascii="Arial" w:hAnsi="Arial" w:cs="Arial"/>
          <w:sz w:val="24"/>
          <w:szCs w:val="24"/>
        </w:rPr>
        <w:t>, al paragrafo 135 d</w:t>
      </w:r>
      <w:r w:rsidR="004B78DE" w:rsidRPr="00015711">
        <w:rPr>
          <w:rFonts w:ascii="Arial" w:hAnsi="Arial" w:cs="Arial"/>
          <w:sz w:val="24"/>
          <w:szCs w:val="24"/>
        </w:rPr>
        <w:t>ovrebbe</w:t>
      </w:r>
      <w:r w:rsidR="001E3BDA" w:rsidRPr="00015711">
        <w:rPr>
          <w:rFonts w:ascii="Arial" w:hAnsi="Arial" w:cs="Arial"/>
          <w:sz w:val="24"/>
          <w:szCs w:val="24"/>
        </w:rPr>
        <w:t xml:space="preserve"> essere modificato prevedendo che </w:t>
      </w:r>
      <w:r w:rsidRPr="00015711">
        <w:rPr>
          <w:rFonts w:ascii="Arial" w:hAnsi="Arial" w:cs="Arial"/>
          <w:sz w:val="24"/>
          <w:szCs w:val="24"/>
        </w:rPr>
        <w:t xml:space="preserve">gli elementi informativi richiesti possono essere incorporati </w:t>
      </w:r>
      <w:r w:rsidR="00DB6D97" w:rsidRPr="00015711">
        <w:rPr>
          <w:rFonts w:ascii="Arial" w:hAnsi="Arial" w:cs="Arial"/>
          <w:sz w:val="24"/>
          <w:szCs w:val="24"/>
        </w:rPr>
        <w:t xml:space="preserve">in altre parti della relazione di gestione nonché in </w:t>
      </w:r>
      <w:r w:rsidR="008631C2" w:rsidRPr="00015711">
        <w:rPr>
          <w:rFonts w:ascii="Arial" w:hAnsi="Arial" w:cs="Arial"/>
          <w:sz w:val="24"/>
          <w:szCs w:val="24"/>
        </w:rPr>
        <w:t>documenti informativi pubblicati dalla società liberamente consultabili dal pubblico in forma gratuita</w:t>
      </w:r>
      <w:r w:rsidR="00DB6D97" w:rsidRPr="00015711">
        <w:rPr>
          <w:rFonts w:ascii="Arial" w:hAnsi="Arial" w:cs="Arial"/>
          <w:sz w:val="24"/>
          <w:szCs w:val="24"/>
        </w:rPr>
        <w:t>.</w:t>
      </w:r>
    </w:p>
    <w:p w14:paraId="29927C35" w14:textId="77777777" w:rsidR="00750E5F" w:rsidRDefault="00750E5F" w:rsidP="004B78DE">
      <w:pPr>
        <w:jc w:val="both"/>
        <w:rPr>
          <w:rFonts w:ascii="Arial" w:hAnsi="Arial" w:cs="Arial"/>
          <w:sz w:val="24"/>
          <w:szCs w:val="24"/>
        </w:rPr>
      </w:pPr>
    </w:p>
    <w:p w14:paraId="6529FEC4" w14:textId="77777777" w:rsidR="00647668" w:rsidRPr="00AB05C2" w:rsidRDefault="00647668" w:rsidP="00DF3BD4">
      <w:pPr>
        <w:jc w:val="both"/>
        <w:rPr>
          <w:rFonts w:ascii="Arial" w:hAnsi="Arial" w:cs="Arial"/>
          <w:sz w:val="24"/>
          <w:szCs w:val="24"/>
        </w:rPr>
      </w:pPr>
    </w:p>
    <w:p w14:paraId="2AA4B147" w14:textId="77777777" w:rsidR="00174386" w:rsidRPr="00647668" w:rsidRDefault="00174386" w:rsidP="00DF3BD4">
      <w:pPr>
        <w:jc w:val="both"/>
        <w:rPr>
          <w:rFonts w:ascii="Arial" w:hAnsi="Arial" w:cs="Arial"/>
          <w:b/>
          <w:bCs/>
          <w:sz w:val="24"/>
          <w:szCs w:val="24"/>
        </w:rPr>
      </w:pPr>
    </w:p>
    <w:sectPr w:rsidR="00174386" w:rsidRPr="00647668">
      <w:footerReference w:type="default" r:id="rId11"/>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C30A64" w14:textId="77777777" w:rsidR="00C02118" w:rsidRDefault="00C02118" w:rsidP="004F3B3E">
      <w:pPr>
        <w:spacing w:after="0" w:line="240" w:lineRule="auto"/>
      </w:pPr>
      <w:r>
        <w:separator/>
      </w:r>
    </w:p>
  </w:endnote>
  <w:endnote w:type="continuationSeparator" w:id="0">
    <w:p w14:paraId="3C423DC0" w14:textId="77777777" w:rsidR="00C02118" w:rsidRDefault="00C02118" w:rsidP="004F3B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78427465"/>
      <w:docPartObj>
        <w:docPartGallery w:val="Page Numbers (Bottom of Page)"/>
        <w:docPartUnique/>
      </w:docPartObj>
    </w:sdtPr>
    <w:sdtContent>
      <w:p w14:paraId="4158C57B" w14:textId="6EE4293E" w:rsidR="00304AEE" w:rsidRDefault="00304AEE">
        <w:pPr>
          <w:pStyle w:val="Pidipagina"/>
          <w:jc w:val="right"/>
        </w:pPr>
        <w:r>
          <w:fldChar w:fldCharType="begin"/>
        </w:r>
        <w:r>
          <w:instrText>PAGE   \* MERGEFORMAT</w:instrText>
        </w:r>
        <w:r>
          <w:fldChar w:fldCharType="separate"/>
        </w:r>
        <w:r>
          <w:t>2</w:t>
        </w:r>
        <w:r>
          <w:fldChar w:fldCharType="end"/>
        </w:r>
      </w:p>
    </w:sdtContent>
  </w:sdt>
  <w:p w14:paraId="1A7C2037" w14:textId="77777777" w:rsidR="00304AEE" w:rsidRDefault="00304AEE">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FC0134" w14:textId="77777777" w:rsidR="00C02118" w:rsidRDefault="00C02118" w:rsidP="004F3B3E">
      <w:pPr>
        <w:spacing w:after="0" w:line="240" w:lineRule="auto"/>
      </w:pPr>
      <w:r>
        <w:separator/>
      </w:r>
    </w:p>
  </w:footnote>
  <w:footnote w:type="continuationSeparator" w:id="0">
    <w:p w14:paraId="3FBA2A34" w14:textId="77777777" w:rsidR="00C02118" w:rsidRDefault="00C02118" w:rsidP="004F3B3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A042D"/>
    <w:multiLevelType w:val="hybridMultilevel"/>
    <w:tmpl w:val="D07014C8"/>
    <w:lvl w:ilvl="0" w:tplc="82D80548">
      <w:start w:val="1"/>
      <w:numFmt w:val="bullet"/>
      <w:lvlText w:val=""/>
      <w:lvlJc w:val="left"/>
      <w:pPr>
        <w:tabs>
          <w:tab w:val="num" w:pos="720"/>
        </w:tabs>
        <w:ind w:left="720" w:hanging="360"/>
      </w:pPr>
      <w:rPr>
        <w:rFonts w:ascii="Symbol" w:hAnsi="Symbol" w:hint="default"/>
      </w:rPr>
    </w:lvl>
    <w:lvl w:ilvl="1" w:tplc="0F38563A" w:tentative="1">
      <w:start w:val="1"/>
      <w:numFmt w:val="bullet"/>
      <w:lvlText w:val=""/>
      <w:lvlJc w:val="left"/>
      <w:pPr>
        <w:tabs>
          <w:tab w:val="num" w:pos="1440"/>
        </w:tabs>
        <w:ind w:left="1440" w:hanging="360"/>
      </w:pPr>
      <w:rPr>
        <w:rFonts w:ascii="Symbol" w:hAnsi="Symbol" w:hint="default"/>
      </w:rPr>
    </w:lvl>
    <w:lvl w:ilvl="2" w:tplc="7A128AD6" w:tentative="1">
      <w:start w:val="1"/>
      <w:numFmt w:val="bullet"/>
      <w:lvlText w:val=""/>
      <w:lvlJc w:val="left"/>
      <w:pPr>
        <w:tabs>
          <w:tab w:val="num" w:pos="2160"/>
        </w:tabs>
        <w:ind w:left="2160" w:hanging="360"/>
      </w:pPr>
      <w:rPr>
        <w:rFonts w:ascii="Symbol" w:hAnsi="Symbol" w:hint="default"/>
      </w:rPr>
    </w:lvl>
    <w:lvl w:ilvl="3" w:tplc="D7CC41F0" w:tentative="1">
      <w:start w:val="1"/>
      <w:numFmt w:val="bullet"/>
      <w:lvlText w:val=""/>
      <w:lvlJc w:val="left"/>
      <w:pPr>
        <w:tabs>
          <w:tab w:val="num" w:pos="2880"/>
        </w:tabs>
        <w:ind w:left="2880" w:hanging="360"/>
      </w:pPr>
      <w:rPr>
        <w:rFonts w:ascii="Symbol" w:hAnsi="Symbol" w:hint="default"/>
      </w:rPr>
    </w:lvl>
    <w:lvl w:ilvl="4" w:tplc="FFE4876C" w:tentative="1">
      <w:start w:val="1"/>
      <w:numFmt w:val="bullet"/>
      <w:lvlText w:val=""/>
      <w:lvlJc w:val="left"/>
      <w:pPr>
        <w:tabs>
          <w:tab w:val="num" w:pos="3600"/>
        </w:tabs>
        <w:ind w:left="3600" w:hanging="360"/>
      </w:pPr>
      <w:rPr>
        <w:rFonts w:ascii="Symbol" w:hAnsi="Symbol" w:hint="default"/>
      </w:rPr>
    </w:lvl>
    <w:lvl w:ilvl="5" w:tplc="C4CA2B1A" w:tentative="1">
      <w:start w:val="1"/>
      <w:numFmt w:val="bullet"/>
      <w:lvlText w:val=""/>
      <w:lvlJc w:val="left"/>
      <w:pPr>
        <w:tabs>
          <w:tab w:val="num" w:pos="4320"/>
        </w:tabs>
        <w:ind w:left="4320" w:hanging="360"/>
      </w:pPr>
      <w:rPr>
        <w:rFonts w:ascii="Symbol" w:hAnsi="Symbol" w:hint="default"/>
      </w:rPr>
    </w:lvl>
    <w:lvl w:ilvl="6" w:tplc="F9A6F660" w:tentative="1">
      <w:start w:val="1"/>
      <w:numFmt w:val="bullet"/>
      <w:lvlText w:val=""/>
      <w:lvlJc w:val="left"/>
      <w:pPr>
        <w:tabs>
          <w:tab w:val="num" w:pos="5040"/>
        </w:tabs>
        <w:ind w:left="5040" w:hanging="360"/>
      </w:pPr>
      <w:rPr>
        <w:rFonts w:ascii="Symbol" w:hAnsi="Symbol" w:hint="default"/>
      </w:rPr>
    </w:lvl>
    <w:lvl w:ilvl="7" w:tplc="4AC6FF78" w:tentative="1">
      <w:start w:val="1"/>
      <w:numFmt w:val="bullet"/>
      <w:lvlText w:val=""/>
      <w:lvlJc w:val="left"/>
      <w:pPr>
        <w:tabs>
          <w:tab w:val="num" w:pos="5760"/>
        </w:tabs>
        <w:ind w:left="5760" w:hanging="360"/>
      </w:pPr>
      <w:rPr>
        <w:rFonts w:ascii="Symbol" w:hAnsi="Symbol" w:hint="default"/>
      </w:rPr>
    </w:lvl>
    <w:lvl w:ilvl="8" w:tplc="5AF62312" w:tentative="1">
      <w:start w:val="1"/>
      <w:numFmt w:val="bullet"/>
      <w:lvlText w:val=""/>
      <w:lvlJc w:val="left"/>
      <w:pPr>
        <w:tabs>
          <w:tab w:val="num" w:pos="6480"/>
        </w:tabs>
        <w:ind w:left="6480" w:hanging="360"/>
      </w:pPr>
      <w:rPr>
        <w:rFonts w:ascii="Symbol" w:hAnsi="Symbol" w:hint="default"/>
      </w:rPr>
    </w:lvl>
  </w:abstractNum>
  <w:abstractNum w:abstractNumId="1" w15:restartNumberingAfterBreak="0">
    <w:nsid w:val="04F42F91"/>
    <w:multiLevelType w:val="hybridMultilevel"/>
    <w:tmpl w:val="1252536E"/>
    <w:lvl w:ilvl="0" w:tplc="1DAEE76E">
      <w:start w:val="1"/>
      <w:numFmt w:val="bullet"/>
      <w:lvlText w:val=""/>
      <w:lvlJc w:val="left"/>
      <w:pPr>
        <w:tabs>
          <w:tab w:val="num" w:pos="720"/>
        </w:tabs>
        <w:ind w:left="720" w:hanging="360"/>
      </w:pPr>
      <w:rPr>
        <w:rFonts w:ascii="Symbol" w:hAnsi="Symbol" w:hint="default"/>
      </w:rPr>
    </w:lvl>
    <w:lvl w:ilvl="1" w:tplc="0450DAEE" w:tentative="1">
      <w:start w:val="1"/>
      <w:numFmt w:val="bullet"/>
      <w:lvlText w:val=""/>
      <w:lvlJc w:val="left"/>
      <w:pPr>
        <w:tabs>
          <w:tab w:val="num" w:pos="1440"/>
        </w:tabs>
        <w:ind w:left="1440" w:hanging="360"/>
      </w:pPr>
      <w:rPr>
        <w:rFonts w:ascii="Symbol" w:hAnsi="Symbol" w:hint="default"/>
      </w:rPr>
    </w:lvl>
    <w:lvl w:ilvl="2" w:tplc="649643B4" w:tentative="1">
      <w:start w:val="1"/>
      <w:numFmt w:val="bullet"/>
      <w:lvlText w:val=""/>
      <w:lvlJc w:val="left"/>
      <w:pPr>
        <w:tabs>
          <w:tab w:val="num" w:pos="2160"/>
        </w:tabs>
        <w:ind w:left="2160" w:hanging="360"/>
      </w:pPr>
      <w:rPr>
        <w:rFonts w:ascii="Symbol" w:hAnsi="Symbol" w:hint="default"/>
      </w:rPr>
    </w:lvl>
    <w:lvl w:ilvl="3" w:tplc="E146F546" w:tentative="1">
      <w:start w:val="1"/>
      <w:numFmt w:val="bullet"/>
      <w:lvlText w:val=""/>
      <w:lvlJc w:val="left"/>
      <w:pPr>
        <w:tabs>
          <w:tab w:val="num" w:pos="2880"/>
        </w:tabs>
        <w:ind w:left="2880" w:hanging="360"/>
      </w:pPr>
      <w:rPr>
        <w:rFonts w:ascii="Symbol" w:hAnsi="Symbol" w:hint="default"/>
      </w:rPr>
    </w:lvl>
    <w:lvl w:ilvl="4" w:tplc="49103E7C" w:tentative="1">
      <w:start w:val="1"/>
      <w:numFmt w:val="bullet"/>
      <w:lvlText w:val=""/>
      <w:lvlJc w:val="left"/>
      <w:pPr>
        <w:tabs>
          <w:tab w:val="num" w:pos="3600"/>
        </w:tabs>
        <w:ind w:left="3600" w:hanging="360"/>
      </w:pPr>
      <w:rPr>
        <w:rFonts w:ascii="Symbol" w:hAnsi="Symbol" w:hint="default"/>
      </w:rPr>
    </w:lvl>
    <w:lvl w:ilvl="5" w:tplc="6A14E9FA" w:tentative="1">
      <w:start w:val="1"/>
      <w:numFmt w:val="bullet"/>
      <w:lvlText w:val=""/>
      <w:lvlJc w:val="left"/>
      <w:pPr>
        <w:tabs>
          <w:tab w:val="num" w:pos="4320"/>
        </w:tabs>
        <w:ind w:left="4320" w:hanging="360"/>
      </w:pPr>
      <w:rPr>
        <w:rFonts w:ascii="Symbol" w:hAnsi="Symbol" w:hint="default"/>
      </w:rPr>
    </w:lvl>
    <w:lvl w:ilvl="6" w:tplc="9AAA0020" w:tentative="1">
      <w:start w:val="1"/>
      <w:numFmt w:val="bullet"/>
      <w:lvlText w:val=""/>
      <w:lvlJc w:val="left"/>
      <w:pPr>
        <w:tabs>
          <w:tab w:val="num" w:pos="5040"/>
        </w:tabs>
        <w:ind w:left="5040" w:hanging="360"/>
      </w:pPr>
      <w:rPr>
        <w:rFonts w:ascii="Symbol" w:hAnsi="Symbol" w:hint="default"/>
      </w:rPr>
    </w:lvl>
    <w:lvl w:ilvl="7" w:tplc="31AAB0A2" w:tentative="1">
      <w:start w:val="1"/>
      <w:numFmt w:val="bullet"/>
      <w:lvlText w:val=""/>
      <w:lvlJc w:val="left"/>
      <w:pPr>
        <w:tabs>
          <w:tab w:val="num" w:pos="5760"/>
        </w:tabs>
        <w:ind w:left="5760" w:hanging="360"/>
      </w:pPr>
      <w:rPr>
        <w:rFonts w:ascii="Symbol" w:hAnsi="Symbol" w:hint="default"/>
      </w:rPr>
    </w:lvl>
    <w:lvl w:ilvl="8" w:tplc="D5BC0788" w:tentative="1">
      <w:start w:val="1"/>
      <w:numFmt w:val="bullet"/>
      <w:lvlText w:val=""/>
      <w:lvlJc w:val="left"/>
      <w:pPr>
        <w:tabs>
          <w:tab w:val="num" w:pos="6480"/>
        </w:tabs>
        <w:ind w:left="6480" w:hanging="360"/>
      </w:pPr>
      <w:rPr>
        <w:rFonts w:ascii="Symbol" w:hAnsi="Symbol" w:hint="default"/>
      </w:rPr>
    </w:lvl>
  </w:abstractNum>
  <w:abstractNum w:abstractNumId="2" w15:restartNumberingAfterBreak="0">
    <w:nsid w:val="0A70114F"/>
    <w:multiLevelType w:val="hybridMultilevel"/>
    <w:tmpl w:val="713801AE"/>
    <w:lvl w:ilvl="0" w:tplc="DF623234">
      <w:start w:val="1"/>
      <w:numFmt w:val="bullet"/>
      <w:lvlText w:val=""/>
      <w:lvlJc w:val="left"/>
      <w:pPr>
        <w:tabs>
          <w:tab w:val="num" w:pos="720"/>
        </w:tabs>
        <w:ind w:left="720" w:hanging="360"/>
      </w:pPr>
      <w:rPr>
        <w:rFonts w:ascii="Symbol" w:hAnsi="Symbol" w:hint="default"/>
      </w:rPr>
    </w:lvl>
    <w:lvl w:ilvl="1" w:tplc="563A7D1C" w:tentative="1">
      <w:start w:val="1"/>
      <w:numFmt w:val="bullet"/>
      <w:lvlText w:val=""/>
      <w:lvlJc w:val="left"/>
      <w:pPr>
        <w:tabs>
          <w:tab w:val="num" w:pos="1440"/>
        </w:tabs>
        <w:ind w:left="1440" w:hanging="360"/>
      </w:pPr>
      <w:rPr>
        <w:rFonts w:ascii="Symbol" w:hAnsi="Symbol" w:hint="default"/>
      </w:rPr>
    </w:lvl>
    <w:lvl w:ilvl="2" w:tplc="428C489A" w:tentative="1">
      <w:start w:val="1"/>
      <w:numFmt w:val="bullet"/>
      <w:lvlText w:val=""/>
      <w:lvlJc w:val="left"/>
      <w:pPr>
        <w:tabs>
          <w:tab w:val="num" w:pos="2160"/>
        </w:tabs>
        <w:ind w:left="2160" w:hanging="360"/>
      </w:pPr>
      <w:rPr>
        <w:rFonts w:ascii="Symbol" w:hAnsi="Symbol" w:hint="default"/>
      </w:rPr>
    </w:lvl>
    <w:lvl w:ilvl="3" w:tplc="BDFC0A78" w:tentative="1">
      <w:start w:val="1"/>
      <w:numFmt w:val="bullet"/>
      <w:lvlText w:val=""/>
      <w:lvlJc w:val="left"/>
      <w:pPr>
        <w:tabs>
          <w:tab w:val="num" w:pos="2880"/>
        </w:tabs>
        <w:ind w:left="2880" w:hanging="360"/>
      </w:pPr>
      <w:rPr>
        <w:rFonts w:ascii="Symbol" w:hAnsi="Symbol" w:hint="default"/>
      </w:rPr>
    </w:lvl>
    <w:lvl w:ilvl="4" w:tplc="01F2F932" w:tentative="1">
      <w:start w:val="1"/>
      <w:numFmt w:val="bullet"/>
      <w:lvlText w:val=""/>
      <w:lvlJc w:val="left"/>
      <w:pPr>
        <w:tabs>
          <w:tab w:val="num" w:pos="3600"/>
        </w:tabs>
        <w:ind w:left="3600" w:hanging="360"/>
      </w:pPr>
      <w:rPr>
        <w:rFonts w:ascii="Symbol" w:hAnsi="Symbol" w:hint="default"/>
      </w:rPr>
    </w:lvl>
    <w:lvl w:ilvl="5" w:tplc="ABCE72FA" w:tentative="1">
      <w:start w:val="1"/>
      <w:numFmt w:val="bullet"/>
      <w:lvlText w:val=""/>
      <w:lvlJc w:val="left"/>
      <w:pPr>
        <w:tabs>
          <w:tab w:val="num" w:pos="4320"/>
        </w:tabs>
        <w:ind w:left="4320" w:hanging="360"/>
      </w:pPr>
      <w:rPr>
        <w:rFonts w:ascii="Symbol" w:hAnsi="Symbol" w:hint="default"/>
      </w:rPr>
    </w:lvl>
    <w:lvl w:ilvl="6" w:tplc="6A1C0BAA" w:tentative="1">
      <w:start w:val="1"/>
      <w:numFmt w:val="bullet"/>
      <w:lvlText w:val=""/>
      <w:lvlJc w:val="left"/>
      <w:pPr>
        <w:tabs>
          <w:tab w:val="num" w:pos="5040"/>
        </w:tabs>
        <w:ind w:left="5040" w:hanging="360"/>
      </w:pPr>
      <w:rPr>
        <w:rFonts w:ascii="Symbol" w:hAnsi="Symbol" w:hint="default"/>
      </w:rPr>
    </w:lvl>
    <w:lvl w:ilvl="7" w:tplc="EF2E74FA" w:tentative="1">
      <w:start w:val="1"/>
      <w:numFmt w:val="bullet"/>
      <w:lvlText w:val=""/>
      <w:lvlJc w:val="left"/>
      <w:pPr>
        <w:tabs>
          <w:tab w:val="num" w:pos="5760"/>
        </w:tabs>
        <w:ind w:left="5760" w:hanging="360"/>
      </w:pPr>
      <w:rPr>
        <w:rFonts w:ascii="Symbol" w:hAnsi="Symbol" w:hint="default"/>
      </w:rPr>
    </w:lvl>
    <w:lvl w:ilvl="8" w:tplc="FD3ED6A4" w:tentative="1">
      <w:start w:val="1"/>
      <w:numFmt w:val="bullet"/>
      <w:lvlText w:val=""/>
      <w:lvlJc w:val="left"/>
      <w:pPr>
        <w:tabs>
          <w:tab w:val="num" w:pos="6480"/>
        </w:tabs>
        <w:ind w:left="6480" w:hanging="360"/>
      </w:pPr>
      <w:rPr>
        <w:rFonts w:ascii="Symbol" w:hAnsi="Symbol" w:hint="default"/>
      </w:rPr>
    </w:lvl>
  </w:abstractNum>
  <w:abstractNum w:abstractNumId="3" w15:restartNumberingAfterBreak="0">
    <w:nsid w:val="0B8C208E"/>
    <w:multiLevelType w:val="hybridMultilevel"/>
    <w:tmpl w:val="F2B6CD2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2AFC4794"/>
    <w:multiLevelType w:val="hybridMultilevel"/>
    <w:tmpl w:val="CBA6300C"/>
    <w:lvl w:ilvl="0" w:tplc="4510C832">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332A10ED"/>
    <w:multiLevelType w:val="hybridMultilevel"/>
    <w:tmpl w:val="67B058AC"/>
    <w:lvl w:ilvl="0" w:tplc="10645146">
      <w:numFmt w:val="bullet"/>
      <w:lvlText w:val="-"/>
      <w:lvlJc w:val="left"/>
      <w:pPr>
        <w:ind w:left="720" w:hanging="360"/>
      </w:pPr>
      <w:rPr>
        <w:rFonts w:ascii="Calibri" w:eastAsiaTheme="minorHAnsi" w:hAnsi="Calibri" w:cs="Calibri"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36F35578"/>
    <w:multiLevelType w:val="hybridMultilevel"/>
    <w:tmpl w:val="65689F02"/>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7" w15:restartNumberingAfterBreak="0">
    <w:nsid w:val="449D7FCA"/>
    <w:multiLevelType w:val="hybridMultilevel"/>
    <w:tmpl w:val="802230F2"/>
    <w:lvl w:ilvl="0" w:tplc="236AF206">
      <w:start w:val="1"/>
      <w:numFmt w:val="bullet"/>
      <w:lvlText w:val=""/>
      <w:lvlJc w:val="left"/>
      <w:pPr>
        <w:tabs>
          <w:tab w:val="num" w:pos="720"/>
        </w:tabs>
        <w:ind w:left="720" w:hanging="360"/>
      </w:pPr>
      <w:rPr>
        <w:rFonts w:ascii="Symbol" w:hAnsi="Symbol" w:hint="default"/>
      </w:rPr>
    </w:lvl>
    <w:lvl w:ilvl="1" w:tplc="6C02FD5A" w:tentative="1">
      <w:start w:val="1"/>
      <w:numFmt w:val="bullet"/>
      <w:lvlText w:val=""/>
      <w:lvlJc w:val="left"/>
      <w:pPr>
        <w:tabs>
          <w:tab w:val="num" w:pos="1440"/>
        </w:tabs>
        <w:ind w:left="1440" w:hanging="360"/>
      </w:pPr>
      <w:rPr>
        <w:rFonts w:ascii="Symbol" w:hAnsi="Symbol" w:hint="default"/>
      </w:rPr>
    </w:lvl>
    <w:lvl w:ilvl="2" w:tplc="F3C69B94" w:tentative="1">
      <w:start w:val="1"/>
      <w:numFmt w:val="bullet"/>
      <w:lvlText w:val=""/>
      <w:lvlJc w:val="left"/>
      <w:pPr>
        <w:tabs>
          <w:tab w:val="num" w:pos="2160"/>
        </w:tabs>
        <w:ind w:left="2160" w:hanging="360"/>
      </w:pPr>
      <w:rPr>
        <w:rFonts w:ascii="Symbol" w:hAnsi="Symbol" w:hint="default"/>
      </w:rPr>
    </w:lvl>
    <w:lvl w:ilvl="3" w:tplc="111A6B10" w:tentative="1">
      <w:start w:val="1"/>
      <w:numFmt w:val="bullet"/>
      <w:lvlText w:val=""/>
      <w:lvlJc w:val="left"/>
      <w:pPr>
        <w:tabs>
          <w:tab w:val="num" w:pos="2880"/>
        </w:tabs>
        <w:ind w:left="2880" w:hanging="360"/>
      </w:pPr>
      <w:rPr>
        <w:rFonts w:ascii="Symbol" w:hAnsi="Symbol" w:hint="default"/>
      </w:rPr>
    </w:lvl>
    <w:lvl w:ilvl="4" w:tplc="BE7C329C" w:tentative="1">
      <w:start w:val="1"/>
      <w:numFmt w:val="bullet"/>
      <w:lvlText w:val=""/>
      <w:lvlJc w:val="left"/>
      <w:pPr>
        <w:tabs>
          <w:tab w:val="num" w:pos="3600"/>
        </w:tabs>
        <w:ind w:left="3600" w:hanging="360"/>
      </w:pPr>
      <w:rPr>
        <w:rFonts w:ascii="Symbol" w:hAnsi="Symbol" w:hint="default"/>
      </w:rPr>
    </w:lvl>
    <w:lvl w:ilvl="5" w:tplc="10526F18" w:tentative="1">
      <w:start w:val="1"/>
      <w:numFmt w:val="bullet"/>
      <w:lvlText w:val=""/>
      <w:lvlJc w:val="left"/>
      <w:pPr>
        <w:tabs>
          <w:tab w:val="num" w:pos="4320"/>
        </w:tabs>
        <w:ind w:left="4320" w:hanging="360"/>
      </w:pPr>
      <w:rPr>
        <w:rFonts w:ascii="Symbol" w:hAnsi="Symbol" w:hint="default"/>
      </w:rPr>
    </w:lvl>
    <w:lvl w:ilvl="6" w:tplc="8796FABE" w:tentative="1">
      <w:start w:val="1"/>
      <w:numFmt w:val="bullet"/>
      <w:lvlText w:val=""/>
      <w:lvlJc w:val="left"/>
      <w:pPr>
        <w:tabs>
          <w:tab w:val="num" w:pos="5040"/>
        </w:tabs>
        <w:ind w:left="5040" w:hanging="360"/>
      </w:pPr>
      <w:rPr>
        <w:rFonts w:ascii="Symbol" w:hAnsi="Symbol" w:hint="default"/>
      </w:rPr>
    </w:lvl>
    <w:lvl w:ilvl="7" w:tplc="FDF41FB8" w:tentative="1">
      <w:start w:val="1"/>
      <w:numFmt w:val="bullet"/>
      <w:lvlText w:val=""/>
      <w:lvlJc w:val="left"/>
      <w:pPr>
        <w:tabs>
          <w:tab w:val="num" w:pos="5760"/>
        </w:tabs>
        <w:ind w:left="5760" w:hanging="360"/>
      </w:pPr>
      <w:rPr>
        <w:rFonts w:ascii="Symbol" w:hAnsi="Symbol" w:hint="default"/>
      </w:rPr>
    </w:lvl>
    <w:lvl w:ilvl="8" w:tplc="16C4A106" w:tentative="1">
      <w:start w:val="1"/>
      <w:numFmt w:val="bullet"/>
      <w:lvlText w:val=""/>
      <w:lvlJc w:val="left"/>
      <w:pPr>
        <w:tabs>
          <w:tab w:val="num" w:pos="6480"/>
        </w:tabs>
        <w:ind w:left="6480" w:hanging="360"/>
      </w:pPr>
      <w:rPr>
        <w:rFonts w:ascii="Symbol" w:hAnsi="Symbol" w:hint="default"/>
      </w:rPr>
    </w:lvl>
  </w:abstractNum>
  <w:abstractNum w:abstractNumId="8" w15:restartNumberingAfterBreak="0">
    <w:nsid w:val="500926D7"/>
    <w:multiLevelType w:val="hybridMultilevel"/>
    <w:tmpl w:val="84B22CFC"/>
    <w:lvl w:ilvl="0" w:tplc="26D40646">
      <w:start w:val="1"/>
      <w:numFmt w:val="bullet"/>
      <w:lvlText w:val=""/>
      <w:lvlJc w:val="left"/>
      <w:pPr>
        <w:tabs>
          <w:tab w:val="num" w:pos="720"/>
        </w:tabs>
        <w:ind w:left="720" w:hanging="360"/>
      </w:pPr>
      <w:rPr>
        <w:rFonts w:ascii="Wingdings" w:hAnsi="Wingdings" w:hint="default"/>
      </w:rPr>
    </w:lvl>
    <w:lvl w:ilvl="1" w:tplc="0F4C3C0A">
      <w:start w:val="1"/>
      <w:numFmt w:val="bullet"/>
      <w:lvlText w:val=""/>
      <w:lvlJc w:val="left"/>
      <w:pPr>
        <w:tabs>
          <w:tab w:val="num" w:pos="1440"/>
        </w:tabs>
        <w:ind w:left="1440" w:hanging="360"/>
      </w:pPr>
      <w:rPr>
        <w:rFonts w:ascii="Wingdings" w:hAnsi="Wingdings" w:hint="default"/>
      </w:rPr>
    </w:lvl>
    <w:lvl w:ilvl="2" w:tplc="C820EFE2" w:tentative="1">
      <w:start w:val="1"/>
      <w:numFmt w:val="bullet"/>
      <w:lvlText w:val=""/>
      <w:lvlJc w:val="left"/>
      <w:pPr>
        <w:tabs>
          <w:tab w:val="num" w:pos="2160"/>
        </w:tabs>
        <w:ind w:left="2160" w:hanging="360"/>
      </w:pPr>
      <w:rPr>
        <w:rFonts w:ascii="Wingdings" w:hAnsi="Wingdings" w:hint="default"/>
      </w:rPr>
    </w:lvl>
    <w:lvl w:ilvl="3" w:tplc="3A3EDEE4" w:tentative="1">
      <w:start w:val="1"/>
      <w:numFmt w:val="bullet"/>
      <w:lvlText w:val=""/>
      <w:lvlJc w:val="left"/>
      <w:pPr>
        <w:tabs>
          <w:tab w:val="num" w:pos="2880"/>
        </w:tabs>
        <w:ind w:left="2880" w:hanging="360"/>
      </w:pPr>
      <w:rPr>
        <w:rFonts w:ascii="Wingdings" w:hAnsi="Wingdings" w:hint="default"/>
      </w:rPr>
    </w:lvl>
    <w:lvl w:ilvl="4" w:tplc="73C00F76" w:tentative="1">
      <w:start w:val="1"/>
      <w:numFmt w:val="bullet"/>
      <w:lvlText w:val=""/>
      <w:lvlJc w:val="left"/>
      <w:pPr>
        <w:tabs>
          <w:tab w:val="num" w:pos="3600"/>
        </w:tabs>
        <w:ind w:left="3600" w:hanging="360"/>
      </w:pPr>
      <w:rPr>
        <w:rFonts w:ascii="Wingdings" w:hAnsi="Wingdings" w:hint="default"/>
      </w:rPr>
    </w:lvl>
    <w:lvl w:ilvl="5" w:tplc="61A8DC56" w:tentative="1">
      <w:start w:val="1"/>
      <w:numFmt w:val="bullet"/>
      <w:lvlText w:val=""/>
      <w:lvlJc w:val="left"/>
      <w:pPr>
        <w:tabs>
          <w:tab w:val="num" w:pos="4320"/>
        </w:tabs>
        <w:ind w:left="4320" w:hanging="360"/>
      </w:pPr>
      <w:rPr>
        <w:rFonts w:ascii="Wingdings" w:hAnsi="Wingdings" w:hint="default"/>
      </w:rPr>
    </w:lvl>
    <w:lvl w:ilvl="6" w:tplc="5D82E2A0" w:tentative="1">
      <w:start w:val="1"/>
      <w:numFmt w:val="bullet"/>
      <w:lvlText w:val=""/>
      <w:lvlJc w:val="left"/>
      <w:pPr>
        <w:tabs>
          <w:tab w:val="num" w:pos="5040"/>
        </w:tabs>
        <w:ind w:left="5040" w:hanging="360"/>
      </w:pPr>
      <w:rPr>
        <w:rFonts w:ascii="Wingdings" w:hAnsi="Wingdings" w:hint="default"/>
      </w:rPr>
    </w:lvl>
    <w:lvl w:ilvl="7" w:tplc="ACC22CD2" w:tentative="1">
      <w:start w:val="1"/>
      <w:numFmt w:val="bullet"/>
      <w:lvlText w:val=""/>
      <w:lvlJc w:val="left"/>
      <w:pPr>
        <w:tabs>
          <w:tab w:val="num" w:pos="5760"/>
        </w:tabs>
        <w:ind w:left="5760" w:hanging="360"/>
      </w:pPr>
      <w:rPr>
        <w:rFonts w:ascii="Wingdings" w:hAnsi="Wingdings" w:hint="default"/>
      </w:rPr>
    </w:lvl>
    <w:lvl w:ilvl="8" w:tplc="DB862A7C"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7196A18"/>
    <w:multiLevelType w:val="hybridMultilevel"/>
    <w:tmpl w:val="AEB0043E"/>
    <w:lvl w:ilvl="0" w:tplc="6C289BBA">
      <w:start w:val="21"/>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6DE81B94"/>
    <w:multiLevelType w:val="hybridMultilevel"/>
    <w:tmpl w:val="F32CA63A"/>
    <w:lvl w:ilvl="0" w:tplc="F1525ACE">
      <w:start w:val="3"/>
      <w:numFmt w:val="bullet"/>
      <w:lvlText w:val="-"/>
      <w:lvlJc w:val="left"/>
      <w:pPr>
        <w:ind w:left="720" w:hanging="360"/>
      </w:pPr>
      <w:rPr>
        <w:rFonts w:ascii="Arial" w:eastAsiaTheme="minorHAns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75F577E1"/>
    <w:multiLevelType w:val="hybridMultilevel"/>
    <w:tmpl w:val="A3CC5C84"/>
    <w:lvl w:ilvl="0" w:tplc="9500AA4E">
      <w:start w:val="1"/>
      <w:numFmt w:val="bullet"/>
      <w:lvlText w:val=""/>
      <w:lvlJc w:val="left"/>
      <w:pPr>
        <w:tabs>
          <w:tab w:val="num" w:pos="720"/>
        </w:tabs>
        <w:ind w:left="720" w:hanging="360"/>
      </w:pPr>
      <w:rPr>
        <w:rFonts w:ascii="Wingdings" w:hAnsi="Wingdings" w:hint="default"/>
      </w:rPr>
    </w:lvl>
    <w:lvl w:ilvl="1" w:tplc="20DE5866">
      <w:start w:val="1"/>
      <w:numFmt w:val="bullet"/>
      <w:lvlText w:val=""/>
      <w:lvlJc w:val="left"/>
      <w:pPr>
        <w:tabs>
          <w:tab w:val="num" w:pos="1440"/>
        </w:tabs>
        <w:ind w:left="1440" w:hanging="360"/>
      </w:pPr>
      <w:rPr>
        <w:rFonts w:ascii="Wingdings" w:hAnsi="Wingdings" w:hint="default"/>
      </w:rPr>
    </w:lvl>
    <w:lvl w:ilvl="2" w:tplc="948E7170" w:tentative="1">
      <w:start w:val="1"/>
      <w:numFmt w:val="bullet"/>
      <w:lvlText w:val=""/>
      <w:lvlJc w:val="left"/>
      <w:pPr>
        <w:tabs>
          <w:tab w:val="num" w:pos="2160"/>
        </w:tabs>
        <w:ind w:left="2160" w:hanging="360"/>
      </w:pPr>
      <w:rPr>
        <w:rFonts w:ascii="Wingdings" w:hAnsi="Wingdings" w:hint="default"/>
      </w:rPr>
    </w:lvl>
    <w:lvl w:ilvl="3" w:tplc="44D02C6C" w:tentative="1">
      <w:start w:val="1"/>
      <w:numFmt w:val="bullet"/>
      <w:lvlText w:val=""/>
      <w:lvlJc w:val="left"/>
      <w:pPr>
        <w:tabs>
          <w:tab w:val="num" w:pos="2880"/>
        </w:tabs>
        <w:ind w:left="2880" w:hanging="360"/>
      </w:pPr>
      <w:rPr>
        <w:rFonts w:ascii="Wingdings" w:hAnsi="Wingdings" w:hint="default"/>
      </w:rPr>
    </w:lvl>
    <w:lvl w:ilvl="4" w:tplc="A9245A2E" w:tentative="1">
      <w:start w:val="1"/>
      <w:numFmt w:val="bullet"/>
      <w:lvlText w:val=""/>
      <w:lvlJc w:val="left"/>
      <w:pPr>
        <w:tabs>
          <w:tab w:val="num" w:pos="3600"/>
        </w:tabs>
        <w:ind w:left="3600" w:hanging="360"/>
      </w:pPr>
      <w:rPr>
        <w:rFonts w:ascii="Wingdings" w:hAnsi="Wingdings" w:hint="default"/>
      </w:rPr>
    </w:lvl>
    <w:lvl w:ilvl="5" w:tplc="FA16E42E" w:tentative="1">
      <w:start w:val="1"/>
      <w:numFmt w:val="bullet"/>
      <w:lvlText w:val=""/>
      <w:lvlJc w:val="left"/>
      <w:pPr>
        <w:tabs>
          <w:tab w:val="num" w:pos="4320"/>
        </w:tabs>
        <w:ind w:left="4320" w:hanging="360"/>
      </w:pPr>
      <w:rPr>
        <w:rFonts w:ascii="Wingdings" w:hAnsi="Wingdings" w:hint="default"/>
      </w:rPr>
    </w:lvl>
    <w:lvl w:ilvl="6" w:tplc="69D6AB4A" w:tentative="1">
      <w:start w:val="1"/>
      <w:numFmt w:val="bullet"/>
      <w:lvlText w:val=""/>
      <w:lvlJc w:val="left"/>
      <w:pPr>
        <w:tabs>
          <w:tab w:val="num" w:pos="5040"/>
        </w:tabs>
        <w:ind w:left="5040" w:hanging="360"/>
      </w:pPr>
      <w:rPr>
        <w:rFonts w:ascii="Wingdings" w:hAnsi="Wingdings" w:hint="default"/>
      </w:rPr>
    </w:lvl>
    <w:lvl w:ilvl="7" w:tplc="B5A2B6D0" w:tentative="1">
      <w:start w:val="1"/>
      <w:numFmt w:val="bullet"/>
      <w:lvlText w:val=""/>
      <w:lvlJc w:val="left"/>
      <w:pPr>
        <w:tabs>
          <w:tab w:val="num" w:pos="5760"/>
        </w:tabs>
        <w:ind w:left="5760" w:hanging="360"/>
      </w:pPr>
      <w:rPr>
        <w:rFonts w:ascii="Wingdings" w:hAnsi="Wingdings" w:hint="default"/>
      </w:rPr>
    </w:lvl>
    <w:lvl w:ilvl="8" w:tplc="D1121974" w:tentative="1">
      <w:start w:val="1"/>
      <w:numFmt w:val="bullet"/>
      <w:lvlText w:val=""/>
      <w:lvlJc w:val="left"/>
      <w:pPr>
        <w:tabs>
          <w:tab w:val="num" w:pos="6480"/>
        </w:tabs>
        <w:ind w:left="6480" w:hanging="360"/>
      </w:pPr>
      <w:rPr>
        <w:rFonts w:ascii="Wingdings" w:hAnsi="Wingdings" w:hint="default"/>
      </w:rPr>
    </w:lvl>
  </w:abstractNum>
  <w:num w:numId="1" w16cid:durableId="1764646365">
    <w:abstractNumId w:val="5"/>
  </w:num>
  <w:num w:numId="2" w16cid:durableId="748960644">
    <w:abstractNumId w:val="10"/>
  </w:num>
  <w:num w:numId="3" w16cid:durableId="1981495491">
    <w:abstractNumId w:val="2"/>
  </w:num>
  <w:num w:numId="4" w16cid:durableId="1133212071">
    <w:abstractNumId w:val="0"/>
  </w:num>
  <w:num w:numId="5" w16cid:durableId="1923954633">
    <w:abstractNumId w:val="1"/>
  </w:num>
  <w:num w:numId="6" w16cid:durableId="1309627563">
    <w:abstractNumId w:val="7"/>
  </w:num>
  <w:num w:numId="7" w16cid:durableId="1388603029">
    <w:abstractNumId w:val="9"/>
  </w:num>
  <w:num w:numId="8" w16cid:durableId="608774996">
    <w:abstractNumId w:val="3"/>
  </w:num>
  <w:num w:numId="9" w16cid:durableId="408037796">
    <w:abstractNumId w:val="4"/>
  </w:num>
  <w:num w:numId="10" w16cid:durableId="70810816">
    <w:abstractNumId w:val="11"/>
  </w:num>
  <w:num w:numId="11" w16cid:durableId="1337223879">
    <w:abstractNumId w:val="8"/>
  </w:num>
  <w:num w:numId="12" w16cid:durableId="130970327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0390"/>
    <w:rsid w:val="00000610"/>
    <w:rsid w:val="000016F6"/>
    <w:rsid w:val="00001A02"/>
    <w:rsid w:val="00002494"/>
    <w:rsid w:val="00002B29"/>
    <w:rsid w:val="00002CD2"/>
    <w:rsid w:val="00005DE8"/>
    <w:rsid w:val="000071D6"/>
    <w:rsid w:val="000107DE"/>
    <w:rsid w:val="00011866"/>
    <w:rsid w:val="000123F3"/>
    <w:rsid w:val="0001302E"/>
    <w:rsid w:val="00013A77"/>
    <w:rsid w:val="00013C36"/>
    <w:rsid w:val="000152CE"/>
    <w:rsid w:val="000154B4"/>
    <w:rsid w:val="00015711"/>
    <w:rsid w:val="00015ECA"/>
    <w:rsid w:val="00016077"/>
    <w:rsid w:val="000164B0"/>
    <w:rsid w:val="000211FC"/>
    <w:rsid w:val="0002179A"/>
    <w:rsid w:val="00022B44"/>
    <w:rsid w:val="000232A0"/>
    <w:rsid w:val="000239CF"/>
    <w:rsid w:val="00024916"/>
    <w:rsid w:val="00025667"/>
    <w:rsid w:val="00026520"/>
    <w:rsid w:val="00026FCB"/>
    <w:rsid w:val="000307DB"/>
    <w:rsid w:val="0003098F"/>
    <w:rsid w:val="00031835"/>
    <w:rsid w:val="00031FD6"/>
    <w:rsid w:val="00033A23"/>
    <w:rsid w:val="0003607E"/>
    <w:rsid w:val="00036C7C"/>
    <w:rsid w:val="00037B60"/>
    <w:rsid w:val="000409D6"/>
    <w:rsid w:val="00040F18"/>
    <w:rsid w:val="0004298B"/>
    <w:rsid w:val="00043769"/>
    <w:rsid w:val="00044794"/>
    <w:rsid w:val="0004497D"/>
    <w:rsid w:val="00044C9A"/>
    <w:rsid w:val="00044C9F"/>
    <w:rsid w:val="00045621"/>
    <w:rsid w:val="00045891"/>
    <w:rsid w:val="000462BE"/>
    <w:rsid w:val="0004724B"/>
    <w:rsid w:val="000477A9"/>
    <w:rsid w:val="00050A91"/>
    <w:rsid w:val="00051391"/>
    <w:rsid w:val="000516D5"/>
    <w:rsid w:val="00052078"/>
    <w:rsid w:val="00052E74"/>
    <w:rsid w:val="000539B2"/>
    <w:rsid w:val="00053C78"/>
    <w:rsid w:val="000573AB"/>
    <w:rsid w:val="00060769"/>
    <w:rsid w:val="00061B33"/>
    <w:rsid w:val="00061C3B"/>
    <w:rsid w:val="00062E6F"/>
    <w:rsid w:val="00062FEB"/>
    <w:rsid w:val="00064359"/>
    <w:rsid w:val="000648EC"/>
    <w:rsid w:val="00064F4B"/>
    <w:rsid w:val="00065BB8"/>
    <w:rsid w:val="0006718B"/>
    <w:rsid w:val="00067316"/>
    <w:rsid w:val="000708E9"/>
    <w:rsid w:val="0007092F"/>
    <w:rsid w:val="00070B46"/>
    <w:rsid w:val="00071370"/>
    <w:rsid w:val="00071C9B"/>
    <w:rsid w:val="00072637"/>
    <w:rsid w:val="000732BB"/>
    <w:rsid w:val="000740BB"/>
    <w:rsid w:val="00075192"/>
    <w:rsid w:val="000757EB"/>
    <w:rsid w:val="00075999"/>
    <w:rsid w:val="00075B3C"/>
    <w:rsid w:val="000763FF"/>
    <w:rsid w:val="000767CC"/>
    <w:rsid w:val="00076BBA"/>
    <w:rsid w:val="00081ED0"/>
    <w:rsid w:val="000830C8"/>
    <w:rsid w:val="00083499"/>
    <w:rsid w:val="00083A54"/>
    <w:rsid w:val="00083EF7"/>
    <w:rsid w:val="00084DDE"/>
    <w:rsid w:val="00085B48"/>
    <w:rsid w:val="00086B1A"/>
    <w:rsid w:val="00087267"/>
    <w:rsid w:val="0008730E"/>
    <w:rsid w:val="00087D3C"/>
    <w:rsid w:val="00090FF7"/>
    <w:rsid w:val="00091021"/>
    <w:rsid w:val="000910DD"/>
    <w:rsid w:val="000915A9"/>
    <w:rsid w:val="00091B68"/>
    <w:rsid w:val="0009218D"/>
    <w:rsid w:val="0009584F"/>
    <w:rsid w:val="000960E0"/>
    <w:rsid w:val="00097954"/>
    <w:rsid w:val="00097B9F"/>
    <w:rsid w:val="000A0E60"/>
    <w:rsid w:val="000A1218"/>
    <w:rsid w:val="000A5046"/>
    <w:rsid w:val="000A5239"/>
    <w:rsid w:val="000A5A53"/>
    <w:rsid w:val="000A5A89"/>
    <w:rsid w:val="000A5B2D"/>
    <w:rsid w:val="000A5F0F"/>
    <w:rsid w:val="000A5FCB"/>
    <w:rsid w:val="000A6C40"/>
    <w:rsid w:val="000A78DD"/>
    <w:rsid w:val="000B258A"/>
    <w:rsid w:val="000B2EFE"/>
    <w:rsid w:val="000B33D9"/>
    <w:rsid w:val="000B4353"/>
    <w:rsid w:val="000B4683"/>
    <w:rsid w:val="000B5596"/>
    <w:rsid w:val="000B5A16"/>
    <w:rsid w:val="000B6272"/>
    <w:rsid w:val="000B6515"/>
    <w:rsid w:val="000B74B0"/>
    <w:rsid w:val="000C0732"/>
    <w:rsid w:val="000C3429"/>
    <w:rsid w:val="000C3ABD"/>
    <w:rsid w:val="000C4911"/>
    <w:rsid w:val="000C4FF6"/>
    <w:rsid w:val="000C57B3"/>
    <w:rsid w:val="000C57CC"/>
    <w:rsid w:val="000C59C5"/>
    <w:rsid w:val="000C67C3"/>
    <w:rsid w:val="000C6996"/>
    <w:rsid w:val="000D0C7F"/>
    <w:rsid w:val="000D10D1"/>
    <w:rsid w:val="000D16F4"/>
    <w:rsid w:val="000D1809"/>
    <w:rsid w:val="000D38FD"/>
    <w:rsid w:val="000D4181"/>
    <w:rsid w:val="000D5DD5"/>
    <w:rsid w:val="000E1478"/>
    <w:rsid w:val="000E2016"/>
    <w:rsid w:val="000E2453"/>
    <w:rsid w:val="000E3816"/>
    <w:rsid w:val="000E4135"/>
    <w:rsid w:val="000E4D26"/>
    <w:rsid w:val="000E55C2"/>
    <w:rsid w:val="000F1F71"/>
    <w:rsid w:val="000F2332"/>
    <w:rsid w:val="000F2E9F"/>
    <w:rsid w:val="000F3831"/>
    <w:rsid w:val="000F5DC2"/>
    <w:rsid w:val="000F69FC"/>
    <w:rsid w:val="000F6C49"/>
    <w:rsid w:val="000F70D8"/>
    <w:rsid w:val="00103A9C"/>
    <w:rsid w:val="00104572"/>
    <w:rsid w:val="00104FAE"/>
    <w:rsid w:val="00104FE8"/>
    <w:rsid w:val="00105650"/>
    <w:rsid w:val="00110DD8"/>
    <w:rsid w:val="0011382D"/>
    <w:rsid w:val="00114DD6"/>
    <w:rsid w:val="001152D4"/>
    <w:rsid w:val="001166EA"/>
    <w:rsid w:val="0011670D"/>
    <w:rsid w:val="00117FA5"/>
    <w:rsid w:val="001203ED"/>
    <w:rsid w:val="00120EEC"/>
    <w:rsid w:val="00121159"/>
    <w:rsid w:val="00121653"/>
    <w:rsid w:val="001217EB"/>
    <w:rsid w:val="00122417"/>
    <w:rsid w:val="00123734"/>
    <w:rsid w:val="001237A1"/>
    <w:rsid w:val="001251F2"/>
    <w:rsid w:val="00126049"/>
    <w:rsid w:val="00126CEA"/>
    <w:rsid w:val="001271CC"/>
    <w:rsid w:val="00127527"/>
    <w:rsid w:val="001305C7"/>
    <w:rsid w:val="00130D42"/>
    <w:rsid w:val="00130E53"/>
    <w:rsid w:val="001310E1"/>
    <w:rsid w:val="001322C5"/>
    <w:rsid w:val="00132E7A"/>
    <w:rsid w:val="00133DC6"/>
    <w:rsid w:val="001353EE"/>
    <w:rsid w:val="00135CBA"/>
    <w:rsid w:val="00135DB2"/>
    <w:rsid w:val="001369D3"/>
    <w:rsid w:val="00136AB7"/>
    <w:rsid w:val="001411F7"/>
    <w:rsid w:val="00141CD1"/>
    <w:rsid w:val="001424A6"/>
    <w:rsid w:val="00142632"/>
    <w:rsid w:val="00145B8C"/>
    <w:rsid w:val="00147412"/>
    <w:rsid w:val="0015126A"/>
    <w:rsid w:val="00151503"/>
    <w:rsid w:val="00151822"/>
    <w:rsid w:val="00153723"/>
    <w:rsid w:val="00155493"/>
    <w:rsid w:val="00155998"/>
    <w:rsid w:val="00160A89"/>
    <w:rsid w:val="00161D7B"/>
    <w:rsid w:val="001629C0"/>
    <w:rsid w:val="00163CC6"/>
    <w:rsid w:val="00165A7A"/>
    <w:rsid w:val="00167F24"/>
    <w:rsid w:val="00170799"/>
    <w:rsid w:val="00173C9E"/>
    <w:rsid w:val="00174386"/>
    <w:rsid w:val="0017458B"/>
    <w:rsid w:val="00175D2E"/>
    <w:rsid w:val="00175F64"/>
    <w:rsid w:val="001777A2"/>
    <w:rsid w:val="00180528"/>
    <w:rsid w:val="00181BEF"/>
    <w:rsid w:val="00181D3A"/>
    <w:rsid w:val="001828D3"/>
    <w:rsid w:val="00182D0C"/>
    <w:rsid w:val="001847A9"/>
    <w:rsid w:val="00186219"/>
    <w:rsid w:val="00186B10"/>
    <w:rsid w:val="00186FDB"/>
    <w:rsid w:val="001872FD"/>
    <w:rsid w:val="00187FCD"/>
    <w:rsid w:val="001904F1"/>
    <w:rsid w:val="001918BF"/>
    <w:rsid w:val="00191EC4"/>
    <w:rsid w:val="00192911"/>
    <w:rsid w:val="001936A1"/>
    <w:rsid w:val="0019470B"/>
    <w:rsid w:val="00197843"/>
    <w:rsid w:val="001A01CB"/>
    <w:rsid w:val="001A0B6D"/>
    <w:rsid w:val="001A2D56"/>
    <w:rsid w:val="001A47B9"/>
    <w:rsid w:val="001A5399"/>
    <w:rsid w:val="001A7687"/>
    <w:rsid w:val="001B018E"/>
    <w:rsid w:val="001B03F4"/>
    <w:rsid w:val="001B0DD8"/>
    <w:rsid w:val="001B0E64"/>
    <w:rsid w:val="001B0EC0"/>
    <w:rsid w:val="001B1FA4"/>
    <w:rsid w:val="001B2B54"/>
    <w:rsid w:val="001B32B3"/>
    <w:rsid w:val="001B519A"/>
    <w:rsid w:val="001B653B"/>
    <w:rsid w:val="001B690C"/>
    <w:rsid w:val="001B79C1"/>
    <w:rsid w:val="001B7CDE"/>
    <w:rsid w:val="001C13DA"/>
    <w:rsid w:val="001C1A18"/>
    <w:rsid w:val="001C1EDE"/>
    <w:rsid w:val="001C2188"/>
    <w:rsid w:val="001C2353"/>
    <w:rsid w:val="001C2B56"/>
    <w:rsid w:val="001C5382"/>
    <w:rsid w:val="001C5518"/>
    <w:rsid w:val="001C592A"/>
    <w:rsid w:val="001C629D"/>
    <w:rsid w:val="001C750C"/>
    <w:rsid w:val="001C7700"/>
    <w:rsid w:val="001C79B3"/>
    <w:rsid w:val="001D0ACE"/>
    <w:rsid w:val="001D1CB9"/>
    <w:rsid w:val="001D4825"/>
    <w:rsid w:val="001D6413"/>
    <w:rsid w:val="001D69FC"/>
    <w:rsid w:val="001E04E8"/>
    <w:rsid w:val="001E0898"/>
    <w:rsid w:val="001E346B"/>
    <w:rsid w:val="001E3476"/>
    <w:rsid w:val="001E37B6"/>
    <w:rsid w:val="001E3BDA"/>
    <w:rsid w:val="001E3D0D"/>
    <w:rsid w:val="001E408A"/>
    <w:rsid w:val="001E44F4"/>
    <w:rsid w:val="001E5D60"/>
    <w:rsid w:val="001E78EF"/>
    <w:rsid w:val="001E7919"/>
    <w:rsid w:val="001F0FAD"/>
    <w:rsid w:val="001F0FEE"/>
    <w:rsid w:val="001F1BE7"/>
    <w:rsid w:val="001F2F0C"/>
    <w:rsid w:val="001F383E"/>
    <w:rsid w:val="001F4208"/>
    <w:rsid w:val="001F442F"/>
    <w:rsid w:val="001F5692"/>
    <w:rsid w:val="001F5D81"/>
    <w:rsid w:val="002003A2"/>
    <w:rsid w:val="00202689"/>
    <w:rsid w:val="0020439E"/>
    <w:rsid w:val="002044F1"/>
    <w:rsid w:val="00205573"/>
    <w:rsid w:val="00205E3A"/>
    <w:rsid w:val="00206FC1"/>
    <w:rsid w:val="00210D74"/>
    <w:rsid w:val="00210DE7"/>
    <w:rsid w:val="00212B23"/>
    <w:rsid w:val="00212D1D"/>
    <w:rsid w:val="00212DD7"/>
    <w:rsid w:val="00212EFB"/>
    <w:rsid w:val="00213767"/>
    <w:rsid w:val="00213F6F"/>
    <w:rsid w:val="00214E9C"/>
    <w:rsid w:val="00216AB8"/>
    <w:rsid w:val="002174D5"/>
    <w:rsid w:val="002202B7"/>
    <w:rsid w:val="0022047C"/>
    <w:rsid w:val="00220C7E"/>
    <w:rsid w:val="00221EEF"/>
    <w:rsid w:val="00222BE1"/>
    <w:rsid w:val="00223480"/>
    <w:rsid w:val="00223845"/>
    <w:rsid w:val="00223CE6"/>
    <w:rsid w:val="00224EA7"/>
    <w:rsid w:val="0022648F"/>
    <w:rsid w:val="00227A1D"/>
    <w:rsid w:val="00233810"/>
    <w:rsid w:val="002339AE"/>
    <w:rsid w:val="002347E2"/>
    <w:rsid w:val="00234F57"/>
    <w:rsid w:val="00235264"/>
    <w:rsid w:val="0023647D"/>
    <w:rsid w:val="002364EC"/>
    <w:rsid w:val="00236BC0"/>
    <w:rsid w:val="002402CE"/>
    <w:rsid w:val="00240779"/>
    <w:rsid w:val="00241B88"/>
    <w:rsid w:val="00242981"/>
    <w:rsid w:val="00242BA6"/>
    <w:rsid w:val="002435A4"/>
    <w:rsid w:val="00245402"/>
    <w:rsid w:val="00245ED7"/>
    <w:rsid w:val="00250AA7"/>
    <w:rsid w:val="00251891"/>
    <w:rsid w:val="002523BF"/>
    <w:rsid w:val="002528E9"/>
    <w:rsid w:val="00253089"/>
    <w:rsid w:val="0025563D"/>
    <w:rsid w:val="00256FAD"/>
    <w:rsid w:val="002576FC"/>
    <w:rsid w:val="002603EA"/>
    <w:rsid w:val="00261340"/>
    <w:rsid w:val="002622D4"/>
    <w:rsid w:val="002638DD"/>
    <w:rsid w:val="00264164"/>
    <w:rsid w:val="0026428D"/>
    <w:rsid w:val="0026473E"/>
    <w:rsid w:val="002647E8"/>
    <w:rsid w:val="002659AB"/>
    <w:rsid w:val="002666F2"/>
    <w:rsid w:val="0026732D"/>
    <w:rsid w:val="0026772D"/>
    <w:rsid w:val="00267B4C"/>
    <w:rsid w:val="002707C4"/>
    <w:rsid w:val="002714FD"/>
    <w:rsid w:val="00271582"/>
    <w:rsid w:val="00271D1B"/>
    <w:rsid w:val="0027258B"/>
    <w:rsid w:val="002731F5"/>
    <w:rsid w:val="00273D00"/>
    <w:rsid w:val="00275E39"/>
    <w:rsid w:val="00276189"/>
    <w:rsid w:val="00276E6F"/>
    <w:rsid w:val="002778BB"/>
    <w:rsid w:val="00277C66"/>
    <w:rsid w:val="002805CD"/>
    <w:rsid w:val="00281902"/>
    <w:rsid w:val="00281FCB"/>
    <w:rsid w:val="002825C4"/>
    <w:rsid w:val="00282A39"/>
    <w:rsid w:val="00284A5F"/>
    <w:rsid w:val="00285665"/>
    <w:rsid w:val="002860D8"/>
    <w:rsid w:val="002910F3"/>
    <w:rsid w:val="002920AC"/>
    <w:rsid w:val="00292115"/>
    <w:rsid w:val="00292B6F"/>
    <w:rsid w:val="002942D6"/>
    <w:rsid w:val="00294A8A"/>
    <w:rsid w:val="00295D20"/>
    <w:rsid w:val="00296013"/>
    <w:rsid w:val="00297B06"/>
    <w:rsid w:val="002A11D3"/>
    <w:rsid w:val="002A4174"/>
    <w:rsid w:val="002A547F"/>
    <w:rsid w:val="002A7029"/>
    <w:rsid w:val="002A750B"/>
    <w:rsid w:val="002A7C0C"/>
    <w:rsid w:val="002B1DDC"/>
    <w:rsid w:val="002B4118"/>
    <w:rsid w:val="002B4737"/>
    <w:rsid w:val="002B5D72"/>
    <w:rsid w:val="002B6D9E"/>
    <w:rsid w:val="002B71D4"/>
    <w:rsid w:val="002C011A"/>
    <w:rsid w:val="002C2323"/>
    <w:rsid w:val="002C3D63"/>
    <w:rsid w:val="002C6270"/>
    <w:rsid w:val="002D0716"/>
    <w:rsid w:val="002D0726"/>
    <w:rsid w:val="002D17D4"/>
    <w:rsid w:val="002D1DE5"/>
    <w:rsid w:val="002D303C"/>
    <w:rsid w:val="002D3607"/>
    <w:rsid w:val="002D4F51"/>
    <w:rsid w:val="002D5200"/>
    <w:rsid w:val="002D72CB"/>
    <w:rsid w:val="002D7841"/>
    <w:rsid w:val="002E0762"/>
    <w:rsid w:val="002E1565"/>
    <w:rsid w:val="002E2202"/>
    <w:rsid w:val="002E23FD"/>
    <w:rsid w:val="002E3863"/>
    <w:rsid w:val="002E4598"/>
    <w:rsid w:val="002E46B6"/>
    <w:rsid w:val="002E66F5"/>
    <w:rsid w:val="002E6720"/>
    <w:rsid w:val="002E6773"/>
    <w:rsid w:val="002E6C01"/>
    <w:rsid w:val="002E74D2"/>
    <w:rsid w:val="002E76FF"/>
    <w:rsid w:val="002F252E"/>
    <w:rsid w:val="002F2A6D"/>
    <w:rsid w:val="002F44AF"/>
    <w:rsid w:val="002F54D4"/>
    <w:rsid w:val="002F6ECB"/>
    <w:rsid w:val="0030050A"/>
    <w:rsid w:val="00300F01"/>
    <w:rsid w:val="0030171D"/>
    <w:rsid w:val="003021C7"/>
    <w:rsid w:val="003022E3"/>
    <w:rsid w:val="00303038"/>
    <w:rsid w:val="00303C6D"/>
    <w:rsid w:val="00303D61"/>
    <w:rsid w:val="00303D9C"/>
    <w:rsid w:val="00304AEE"/>
    <w:rsid w:val="00305764"/>
    <w:rsid w:val="00305BD0"/>
    <w:rsid w:val="00307127"/>
    <w:rsid w:val="00311DE8"/>
    <w:rsid w:val="003137DE"/>
    <w:rsid w:val="00315BAC"/>
    <w:rsid w:val="003161B3"/>
    <w:rsid w:val="003172B8"/>
    <w:rsid w:val="00317AC9"/>
    <w:rsid w:val="00317D61"/>
    <w:rsid w:val="00317E6C"/>
    <w:rsid w:val="00324705"/>
    <w:rsid w:val="00324803"/>
    <w:rsid w:val="003251CE"/>
    <w:rsid w:val="003256A6"/>
    <w:rsid w:val="003257E3"/>
    <w:rsid w:val="00330D60"/>
    <w:rsid w:val="00330E71"/>
    <w:rsid w:val="003330CD"/>
    <w:rsid w:val="003336E4"/>
    <w:rsid w:val="00334875"/>
    <w:rsid w:val="00336720"/>
    <w:rsid w:val="00336E9E"/>
    <w:rsid w:val="0033760F"/>
    <w:rsid w:val="00337A2C"/>
    <w:rsid w:val="00340EEB"/>
    <w:rsid w:val="00340FCD"/>
    <w:rsid w:val="00342484"/>
    <w:rsid w:val="00342EFE"/>
    <w:rsid w:val="00344684"/>
    <w:rsid w:val="003448A5"/>
    <w:rsid w:val="00344D5D"/>
    <w:rsid w:val="00346B61"/>
    <w:rsid w:val="003524A5"/>
    <w:rsid w:val="00352F4E"/>
    <w:rsid w:val="00357C28"/>
    <w:rsid w:val="003617AA"/>
    <w:rsid w:val="0036217F"/>
    <w:rsid w:val="003629C5"/>
    <w:rsid w:val="00363D40"/>
    <w:rsid w:val="003642D4"/>
    <w:rsid w:val="003644C4"/>
    <w:rsid w:val="00365B59"/>
    <w:rsid w:val="0036704B"/>
    <w:rsid w:val="003670AB"/>
    <w:rsid w:val="0036716D"/>
    <w:rsid w:val="00367FFE"/>
    <w:rsid w:val="00370076"/>
    <w:rsid w:val="003701C8"/>
    <w:rsid w:val="00370AE8"/>
    <w:rsid w:val="003737CD"/>
    <w:rsid w:val="00374205"/>
    <w:rsid w:val="003743DD"/>
    <w:rsid w:val="003745B1"/>
    <w:rsid w:val="00375699"/>
    <w:rsid w:val="00376107"/>
    <w:rsid w:val="00376C0A"/>
    <w:rsid w:val="00380390"/>
    <w:rsid w:val="00381EB0"/>
    <w:rsid w:val="00381EE9"/>
    <w:rsid w:val="003824A1"/>
    <w:rsid w:val="00383CC9"/>
    <w:rsid w:val="003850E2"/>
    <w:rsid w:val="00386D51"/>
    <w:rsid w:val="003906C5"/>
    <w:rsid w:val="00391596"/>
    <w:rsid w:val="003922B0"/>
    <w:rsid w:val="00392CBF"/>
    <w:rsid w:val="003939E5"/>
    <w:rsid w:val="00393D32"/>
    <w:rsid w:val="00394A06"/>
    <w:rsid w:val="00395C54"/>
    <w:rsid w:val="0039682A"/>
    <w:rsid w:val="00396ADE"/>
    <w:rsid w:val="0039733F"/>
    <w:rsid w:val="00397341"/>
    <w:rsid w:val="00397582"/>
    <w:rsid w:val="003A135C"/>
    <w:rsid w:val="003A4290"/>
    <w:rsid w:val="003A42C1"/>
    <w:rsid w:val="003A718A"/>
    <w:rsid w:val="003A77AB"/>
    <w:rsid w:val="003B020B"/>
    <w:rsid w:val="003B0CE1"/>
    <w:rsid w:val="003B0D38"/>
    <w:rsid w:val="003B1370"/>
    <w:rsid w:val="003B1C3F"/>
    <w:rsid w:val="003B23D2"/>
    <w:rsid w:val="003B3A9E"/>
    <w:rsid w:val="003B5291"/>
    <w:rsid w:val="003B55D6"/>
    <w:rsid w:val="003B5F79"/>
    <w:rsid w:val="003B60DF"/>
    <w:rsid w:val="003C261C"/>
    <w:rsid w:val="003C3538"/>
    <w:rsid w:val="003C4239"/>
    <w:rsid w:val="003C6D80"/>
    <w:rsid w:val="003C6FC7"/>
    <w:rsid w:val="003C7FEA"/>
    <w:rsid w:val="003D0C51"/>
    <w:rsid w:val="003D0EC0"/>
    <w:rsid w:val="003D1385"/>
    <w:rsid w:val="003D39F2"/>
    <w:rsid w:val="003D3D0E"/>
    <w:rsid w:val="003D4026"/>
    <w:rsid w:val="003D5145"/>
    <w:rsid w:val="003D6DEA"/>
    <w:rsid w:val="003E0D22"/>
    <w:rsid w:val="003E0E3C"/>
    <w:rsid w:val="003E2D62"/>
    <w:rsid w:val="003E2E9E"/>
    <w:rsid w:val="003E33C3"/>
    <w:rsid w:val="003E6715"/>
    <w:rsid w:val="003E79AE"/>
    <w:rsid w:val="003F19BF"/>
    <w:rsid w:val="003F1E0D"/>
    <w:rsid w:val="003F50CD"/>
    <w:rsid w:val="003F5756"/>
    <w:rsid w:val="003F6D3B"/>
    <w:rsid w:val="004019D6"/>
    <w:rsid w:val="004055EB"/>
    <w:rsid w:val="0040611C"/>
    <w:rsid w:val="004062AD"/>
    <w:rsid w:val="00406E49"/>
    <w:rsid w:val="004077ED"/>
    <w:rsid w:val="00407960"/>
    <w:rsid w:val="00407C8B"/>
    <w:rsid w:val="00410C9E"/>
    <w:rsid w:val="00412513"/>
    <w:rsid w:val="004145D9"/>
    <w:rsid w:val="004148DF"/>
    <w:rsid w:val="00416253"/>
    <w:rsid w:val="00416F94"/>
    <w:rsid w:val="00417B17"/>
    <w:rsid w:val="004205B2"/>
    <w:rsid w:val="00423AD5"/>
    <w:rsid w:val="00423C98"/>
    <w:rsid w:val="00424021"/>
    <w:rsid w:val="0042428C"/>
    <w:rsid w:val="0042498B"/>
    <w:rsid w:val="00424CCB"/>
    <w:rsid w:val="00424EAB"/>
    <w:rsid w:val="00425F4A"/>
    <w:rsid w:val="004272FD"/>
    <w:rsid w:val="00431F1A"/>
    <w:rsid w:val="00432378"/>
    <w:rsid w:val="00433424"/>
    <w:rsid w:val="00433749"/>
    <w:rsid w:val="00435853"/>
    <w:rsid w:val="00437FDE"/>
    <w:rsid w:val="00440E1D"/>
    <w:rsid w:val="00441731"/>
    <w:rsid w:val="0044188E"/>
    <w:rsid w:val="00443011"/>
    <w:rsid w:val="0044398C"/>
    <w:rsid w:val="00443EBA"/>
    <w:rsid w:val="00444366"/>
    <w:rsid w:val="004448D8"/>
    <w:rsid w:val="00444F6E"/>
    <w:rsid w:val="00445BA7"/>
    <w:rsid w:val="00445F5D"/>
    <w:rsid w:val="0044661B"/>
    <w:rsid w:val="0044698D"/>
    <w:rsid w:val="00447317"/>
    <w:rsid w:val="00447B55"/>
    <w:rsid w:val="00450192"/>
    <w:rsid w:val="00451093"/>
    <w:rsid w:val="004517E2"/>
    <w:rsid w:val="00451AE5"/>
    <w:rsid w:val="004521B7"/>
    <w:rsid w:val="004522CE"/>
    <w:rsid w:val="00453127"/>
    <w:rsid w:val="004549F2"/>
    <w:rsid w:val="00456127"/>
    <w:rsid w:val="00460493"/>
    <w:rsid w:val="004613C8"/>
    <w:rsid w:val="00461D3E"/>
    <w:rsid w:val="00461EBA"/>
    <w:rsid w:val="004643E1"/>
    <w:rsid w:val="004644B4"/>
    <w:rsid w:val="00464923"/>
    <w:rsid w:val="00464C4D"/>
    <w:rsid w:val="00466CFF"/>
    <w:rsid w:val="004678AF"/>
    <w:rsid w:val="00471B41"/>
    <w:rsid w:val="004726EE"/>
    <w:rsid w:val="00472C63"/>
    <w:rsid w:val="00473A42"/>
    <w:rsid w:val="0047489F"/>
    <w:rsid w:val="004750D9"/>
    <w:rsid w:val="004760ED"/>
    <w:rsid w:val="004768F7"/>
    <w:rsid w:val="004770CA"/>
    <w:rsid w:val="00477157"/>
    <w:rsid w:val="00481AB1"/>
    <w:rsid w:val="00482525"/>
    <w:rsid w:val="00482572"/>
    <w:rsid w:val="00482DFE"/>
    <w:rsid w:val="00483572"/>
    <w:rsid w:val="0048768B"/>
    <w:rsid w:val="00490F85"/>
    <w:rsid w:val="00490F97"/>
    <w:rsid w:val="00491B54"/>
    <w:rsid w:val="00491BE3"/>
    <w:rsid w:val="004934C2"/>
    <w:rsid w:val="00494468"/>
    <w:rsid w:val="00495A63"/>
    <w:rsid w:val="004964E4"/>
    <w:rsid w:val="00496BF1"/>
    <w:rsid w:val="00496C76"/>
    <w:rsid w:val="004971B1"/>
    <w:rsid w:val="00497397"/>
    <w:rsid w:val="00497543"/>
    <w:rsid w:val="00497FED"/>
    <w:rsid w:val="004A105E"/>
    <w:rsid w:val="004A1387"/>
    <w:rsid w:val="004A1F1A"/>
    <w:rsid w:val="004A58A8"/>
    <w:rsid w:val="004A60F4"/>
    <w:rsid w:val="004A6841"/>
    <w:rsid w:val="004A772D"/>
    <w:rsid w:val="004A7D01"/>
    <w:rsid w:val="004B1DBC"/>
    <w:rsid w:val="004B2C0A"/>
    <w:rsid w:val="004B3FE4"/>
    <w:rsid w:val="004B3FFC"/>
    <w:rsid w:val="004B6565"/>
    <w:rsid w:val="004B78DE"/>
    <w:rsid w:val="004B7CC5"/>
    <w:rsid w:val="004C0BAE"/>
    <w:rsid w:val="004C11EB"/>
    <w:rsid w:val="004C2EB2"/>
    <w:rsid w:val="004C4B11"/>
    <w:rsid w:val="004C4B2B"/>
    <w:rsid w:val="004C50F9"/>
    <w:rsid w:val="004C6205"/>
    <w:rsid w:val="004D0A69"/>
    <w:rsid w:val="004D11CE"/>
    <w:rsid w:val="004D23D8"/>
    <w:rsid w:val="004D447F"/>
    <w:rsid w:val="004D524F"/>
    <w:rsid w:val="004D6A6F"/>
    <w:rsid w:val="004E12E9"/>
    <w:rsid w:val="004E1CE3"/>
    <w:rsid w:val="004E23FA"/>
    <w:rsid w:val="004E3985"/>
    <w:rsid w:val="004E3C19"/>
    <w:rsid w:val="004E421A"/>
    <w:rsid w:val="004E47CE"/>
    <w:rsid w:val="004E5BF6"/>
    <w:rsid w:val="004E7568"/>
    <w:rsid w:val="004F1747"/>
    <w:rsid w:val="004F2243"/>
    <w:rsid w:val="004F2392"/>
    <w:rsid w:val="004F296D"/>
    <w:rsid w:val="004F3B08"/>
    <w:rsid w:val="004F3B3E"/>
    <w:rsid w:val="004F46F2"/>
    <w:rsid w:val="004F4F05"/>
    <w:rsid w:val="004F54C1"/>
    <w:rsid w:val="004F56A5"/>
    <w:rsid w:val="004F5AB8"/>
    <w:rsid w:val="004F600F"/>
    <w:rsid w:val="004F7566"/>
    <w:rsid w:val="004F7ACC"/>
    <w:rsid w:val="0050232C"/>
    <w:rsid w:val="005031C3"/>
    <w:rsid w:val="00503E3E"/>
    <w:rsid w:val="00506E2C"/>
    <w:rsid w:val="00511B4B"/>
    <w:rsid w:val="00511CAA"/>
    <w:rsid w:val="00511E3D"/>
    <w:rsid w:val="00512A8F"/>
    <w:rsid w:val="00513DFA"/>
    <w:rsid w:val="00514EA1"/>
    <w:rsid w:val="00516650"/>
    <w:rsid w:val="00516A5F"/>
    <w:rsid w:val="005200B5"/>
    <w:rsid w:val="00521451"/>
    <w:rsid w:val="00521CE3"/>
    <w:rsid w:val="005221BC"/>
    <w:rsid w:val="00522FE2"/>
    <w:rsid w:val="005259CD"/>
    <w:rsid w:val="00525AB6"/>
    <w:rsid w:val="005268C2"/>
    <w:rsid w:val="00527F54"/>
    <w:rsid w:val="0053140D"/>
    <w:rsid w:val="005332C3"/>
    <w:rsid w:val="00534154"/>
    <w:rsid w:val="00536A01"/>
    <w:rsid w:val="00536EE0"/>
    <w:rsid w:val="0054006E"/>
    <w:rsid w:val="005415D9"/>
    <w:rsid w:val="00541722"/>
    <w:rsid w:val="005428A3"/>
    <w:rsid w:val="005431D8"/>
    <w:rsid w:val="0054339A"/>
    <w:rsid w:val="00544A9F"/>
    <w:rsid w:val="00546F5C"/>
    <w:rsid w:val="00547885"/>
    <w:rsid w:val="00550891"/>
    <w:rsid w:val="00550AAA"/>
    <w:rsid w:val="005520EE"/>
    <w:rsid w:val="00556DF0"/>
    <w:rsid w:val="00556FEF"/>
    <w:rsid w:val="00557238"/>
    <w:rsid w:val="00561F16"/>
    <w:rsid w:val="00562C8C"/>
    <w:rsid w:val="00563601"/>
    <w:rsid w:val="00563868"/>
    <w:rsid w:val="00564811"/>
    <w:rsid w:val="00564993"/>
    <w:rsid w:val="00565401"/>
    <w:rsid w:val="005659CB"/>
    <w:rsid w:val="00566E7C"/>
    <w:rsid w:val="00566F0A"/>
    <w:rsid w:val="00567207"/>
    <w:rsid w:val="0057011B"/>
    <w:rsid w:val="00571207"/>
    <w:rsid w:val="005713EC"/>
    <w:rsid w:val="00571C9A"/>
    <w:rsid w:val="00573236"/>
    <w:rsid w:val="00573863"/>
    <w:rsid w:val="005750E8"/>
    <w:rsid w:val="00575E1C"/>
    <w:rsid w:val="00576B48"/>
    <w:rsid w:val="005770B8"/>
    <w:rsid w:val="00580316"/>
    <w:rsid w:val="00580BE5"/>
    <w:rsid w:val="00581624"/>
    <w:rsid w:val="0058162E"/>
    <w:rsid w:val="00583832"/>
    <w:rsid w:val="0058396E"/>
    <w:rsid w:val="00583AB6"/>
    <w:rsid w:val="005846BC"/>
    <w:rsid w:val="00584983"/>
    <w:rsid w:val="00585CA6"/>
    <w:rsid w:val="0058719D"/>
    <w:rsid w:val="005877F9"/>
    <w:rsid w:val="00587EDC"/>
    <w:rsid w:val="005900F8"/>
    <w:rsid w:val="005902C0"/>
    <w:rsid w:val="005907A2"/>
    <w:rsid w:val="00593ABE"/>
    <w:rsid w:val="00594D2B"/>
    <w:rsid w:val="0059581F"/>
    <w:rsid w:val="005A1422"/>
    <w:rsid w:val="005A1B2E"/>
    <w:rsid w:val="005A29B0"/>
    <w:rsid w:val="005A2F0C"/>
    <w:rsid w:val="005A35F5"/>
    <w:rsid w:val="005A4A47"/>
    <w:rsid w:val="005A4F91"/>
    <w:rsid w:val="005A5B76"/>
    <w:rsid w:val="005A7361"/>
    <w:rsid w:val="005A77D5"/>
    <w:rsid w:val="005B076C"/>
    <w:rsid w:val="005B1B00"/>
    <w:rsid w:val="005B26BB"/>
    <w:rsid w:val="005B30AF"/>
    <w:rsid w:val="005B4F68"/>
    <w:rsid w:val="005B54D2"/>
    <w:rsid w:val="005B587D"/>
    <w:rsid w:val="005B6711"/>
    <w:rsid w:val="005B6CCF"/>
    <w:rsid w:val="005B7259"/>
    <w:rsid w:val="005C10F7"/>
    <w:rsid w:val="005C1555"/>
    <w:rsid w:val="005C16F3"/>
    <w:rsid w:val="005C1905"/>
    <w:rsid w:val="005C1A96"/>
    <w:rsid w:val="005C2A29"/>
    <w:rsid w:val="005C4AA5"/>
    <w:rsid w:val="005C4C5C"/>
    <w:rsid w:val="005C50A8"/>
    <w:rsid w:val="005C5F9E"/>
    <w:rsid w:val="005C78BE"/>
    <w:rsid w:val="005D0E53"/>
    <w:rsid w:val="005D1902"/>
    <w:rsid w:val="005D3C20"/>
    <w:rsid w:val="005D429A"/>
    <w:rsid w:val="005D46BA"/>
    <w:rsid w:val="005D4848"/>
    <w:rsid w:val="005D6AB4"/>
    <w:rsid w:val="005E1841"/>
    <w:rsid w:val="005E28B4"/>
    <w:rsid w:val="005E3D80"/>
    <w:rsid w:val="005E48B1"/>
    <w:rsid w:val="005E4DD2"/>
    <w:rsid w:val="005E4F75"/>
    <w:rsid w:val="005E569F"/>
    <w:rsid w:val="005E751C"/>
    <w:rsid w:val="005F016A"/>
    <w:rsid w:val="005F08D2"/>
    <w:rsid w:val="005F0C18"/>
    <w:rsid w:val="005F1630"/>
    <w:rsid w:val="005F24FA"/>
    <w:rsid w:val="005F2720"/>
    <w:rsid w:val="005F3151"/>
    <w:rsid w:val="005F3272"/>
    <w:rsid w:val="005F3A57"/>
    <w:rsid w:val="005F44E6"/>
    <w:rsid w:val="005F4976"/>
    <w:rsid w:val="005F4EF0"/>
    <w:rsid w:val="005F50FE"/>
    <w:rsid w:val="005F54F7"/>
    <w:rsid w:val="005F6264"/>
    <w:rsid w:val="005F643B"/>
    <w:rsid w:val="005F664E"/>
    <w:rsid w:val="005F7039"/>
    <w:rsid w:val="005F748A"/>
    <w:rsid w:val="005F7E18"/>
    <w:rsid w:val="006001F5"/>
    <w:rsid w:val="00601AC8"/>
    <w:rsid w:val="0060348C"/>
    <w:rsid w:val="006038E6"/>
    <w:rsid w:val="006057FF"/>
    <w:rsid w:val="00605E31"/>
    <w:rsid w:val="00606A1A"/>
    <w:rsid w:val="00607286"/>
    <w:rsid w:val="006072B6"/>
    <w:rsid w:val="006108B6"/>
    <w:rsid w:val="006110CB"/>
    <w:rsid w:val="0061140F"/>
    <w:rsid w:val="0061173F"/>
    <w:rsid w:val="00614F12"/>
    <w:rsid w:val="00615275"/>
    <w:rsid w:val="0061666B"/>
    <w:rsid w:val="00616EB4"/>
    <w:rsid w:val="00617CF9"/>
    <w:rsid w:val="0062338F"/>
    <w:rsid w:val="00623495"/>
    <w:rsid w:val="006237D6"/>
    <w:rsid w:val="00624C80"/>
    <w:rsid w:val="0062558F"/>
    <w:rsid w:val="00625926"/>
    <w:rsid w:val="006269E3"/>
    <w:rsid w:val="006272DC"/>
    <w:rsid w:val="00627C5E"/>
    <w:rsid w:val="006323B5"/>
    <w:rsid w:val="00634580"/>
    <w:rsid w:val="00634591"/>
    <w:rsid w:val="00634D86"/>
    <w:rsid w:val="00635039"/>
    <w:rsid w:val="00635E10"/>
    <w:rsid w:val="006364D3"/>
    <w:rsid w:val="00641373"/>
    <w:rsid w:val="006435EE"/>
    <w:rsid w:val="0064396B"/>
    <w:rsid w:val="00643D3A"/>
    <w:rsid w:val="006442C7"/>
    <w:rsid w:val="006469BE"/>
    <w:rsid w:val="00646DE3"/>
    <w:rsid w:val="00647668"/>
    <w:rsid w:val="00647EDD"/>
    <w:rsid w:val="00650138"/>
    <w:rsid w:val="0065081A"/>
    <w:rsid w:val="00650AF7"/>
    <w:rsid w:val="00650EE1"/>
    <w:rsid w:val="006510FD"/>
    <w:rsid w:val="00651B3E"/>
    <w:rsid w:val="006521F9"/>
    <w:rsid w:val="0065341D"/>
    <w:rsid w:val="00654116"/>
    <w:rsid w:val="00654408"/>
    <w:rsid w:val="006549A2"/>
    <w:rsid w:val="00656B6C"/>
    <w:rsid w:val="00656F05"/>
    <w:rsid w:val="00657961"/>
    <w:rsid w:val="00660CFD"/>
    <w:rsid w:val="0066101A"/>
    <w:rsid w:val="006610E5"/>
    <w:rsid w:val="0066165D"/>
    <w:rsid w:val="0066207F"/>
    <w:rsid w:val="006626DA"/>
    <w:rsid w:val="00662C0B"/>
    <w:rsid w:val="00663989"/>
    <w:rsid w:val="006650E9"/>
    <w:rsid w:val="00665BD4"/>
    <w:rsid w:val="00667518"/>
    <w:rsid w:val="00670421"/>
    <w:rsid w:val="006704B2"/>
    <w:rsid w:val="0067195D"/>
    <w:rsid w:val="00672957"/>
    <w:rsid w:val="00673526"/>
    <w:rsid w:val="006747F5"/>
    <w:rsid w:val="00674A9D"/>
    <w:rsid w:val="00674AA1"/>
    <w:rsid w:val="006777EF"/>
    <w:rsid w:val="00681669"/>
    <w:rsid w:val="00681B66"/>
    <w:rsid w:val="0068273E"/>
    <w:rsid w:val="006851A0"/>
    <w:rsid w:val="00685443"/>
    <w:rsid w:val="00690448"/>
    <w:rsid w:val="00692B74"/>
    <w:rsid w:val="00693045"/>
    <w:rsid w:val="00697FE0"/>
    <w:rsid w:val="006A20DD"/>
    <w:rsid w:val="006A51CB"/>
    <w:rsid w:val="006A557F"/>
    <w:rsid w:val="006A5B6F"/>
    <w:rsid w:val="006A5C87"/>
    <w:rsid w:val="006A6538"/>
    <w:rsid w:val="006A6BD8"/>
    <w:rsid w:val="006A6FAE"/>
    <w:rsid w:val="006A75D6"/>
    <w:rsid w:val="006B0A19"/>
    <w:rsid w:val="006B1566"/>
    <w:rsid w:val="006B1EE7"/>
    <w:rsid w:val="006B1F29"/>
    <w:rsid w:val="006B205F"/>
    <w:rsid w:val="006B22D4"/>
    <w:rsid w:val="006B24C5"/>
    <w:rsid w:val="006B2F49"/>
    <w:rsid w:val="006B759D"/>
    <w:rsid w:val="006C0088"/>
    <w:rsid w:val="006C27BC"/>
    <w:rsid w:val="006C2FA8"/>
    <w:rsid w:val="006C5EC9"/>
    <w:rsid w:val="006C7C46"/>
    <w:rsid w:val="006C7DAA"/>
    <w:rsid w:val="006D01B5"/>
    <w:rsid w:val="006D26C7"/>
    <w:rsid w:val="006D2921"/>
    <w:rsid w:val="006D3633"/>
    <w:rsid w:val="006D3AF2"/>
    <w:rsid w:val="006D3BC2"/>
    <w:rsid w:val="006D507E"/>
    <w:rsid w:val="006D687B"/>
    <w:rsid w:val="006D6AF7"/>
    <w:rsid w:val="006D6E98"/>
    <w:rsid w:val="006E0E0A"/>
    <w:rsid w:val="006E103D"/>
    <w:rsid w:val="006E2C75"/>
    <w:rsid w:val="006E32AC"/>
    <w:rsid w:val="006E47D3"/>
    <w:rsid w:val="006E5E38"/>
    <w:rsid w:val="006E69F3"/>
    <w:rsid w:val="006E6D13"/>
    <w:rsid w:val="006E7558"/>
    <w:rsid w:val="006F250C"/>
    <w:rsid w:val="006F2C7D"/>
    <w:rsid w:val="006F3833"/>
    <w:rsid w:val="006F3E93"/>
    <w:rsid w:val="006F42DC"/>
    <w:rsid w:val="006F49D4"/>
    <w:rsid w:val="006F7830"/>
    <w:rsid w:val="0070104B"/>
    <w:rsid w:val="007027AA"/>
    <w:rsid w:val="00702DA5"/>
    <w:rsid w:val="007032DB"/>
    <w:rsid w:val="007046D0"/>
    <w:rsid w:val="00704C01"/>
    <w:rsid w:val="00704C18"/>
    <w:rsid w:val="00704F6D"/>
    <w:rsid w:val="00706070"/>
    <w:rsid w:val="00707930"/>
    <w:rsid w:val="00710205"/>
    <w:rsid w:val="00710C62"/>
    <w:rsid w:val="007116E3"/>
    <w:rsid w:val="007138C9"/>
    <w:rsid w:val="00713A42"/>
    <w:rsid w:val="00714B49"/>
    <w:rsid w:val="00714D09"/>
    <w:rsid w:val="007151B6"/>
    <w:rsid w:val="00715B3C"/>
    <w:rsid w:val="00715E84"/>
    <w:rsid w:val="00717A8D"/>
    <w:rsid w:val="00717FC3"/>
    <w:rsid w:val="00720121"/>
    <w:rsid w:val="007204CE"/>
    <w:rsid w:val="0072159D"/>
    <w:rsid w:val="007219A9"/>
    <w:rsid w:val="00721E9E"/>
    <w:rsid w:val="00721F91"/>
    <w:rsid w:val="00722756"/>
    <w:rsid w:val="00722FEA"/>
    <w:rsid w:val="00723EF6"/>
    <w:rsid w:val="00723F15"/>
    <w:rsid w:val="00725DCF"/>
    <w:rsid w:val="0072700A"/>
    <w:rsid w:val="007276F9"/>
    <w:rsid w:val="00727D97"/>
    <w:rsid w:val="00730879"/>
    <w:rsid w:val="00730948"/>
    <w:rsid w:val="0073102D"/>
    <w:rsid w:val="00731BDF"/>
    <w:rsid w:val="00733061"/>
    <w:rsid w:val="007330F6"/>
    <w:rsid w:val="00733FA0"/>
    <w:rsid w:val="00734313"/>
    <w:rsid w:val="00736383"/>
    <w:rsid w:val="0073673C"/>
    <w:rsid w:val="007378DF"/>
    <w:rsid w:val="007406BC"/>
    <w:rsid w:val="0074131D"/>
    <w:rsid w:val="007413E8"/>
    <w:rsid w:val="00742DB1"/>
    <w:rsid w:val="00743678"/>
    <w:rsid w:val="0074386E"/>
    <w:rsid w:val="00744D21"/>
    <w:rsid w:val="00745FA2"/>
    <w:rsid w:val="00750B45"/>
    <w:rsid w:val="00750E5F"/>
    <w:rsid w:val="00751982"/>
    <w:rsid w:val="007519BD"/>
    <w:rsid w:val="00752585"/>
    <w:rsid w:val="00753A0A"/>
    <w:rsid w:val="00756100"/>
    <w:rsid w:val="007573FD"/>
    <w:rsid w:val="007609F7"/>
    <w:rsid w:val="00760B73"/>
    <w:rsid w:val="00760EE8"/>
    <w:rsid w:val="007614B5"/>
    <w:rsid w:val="007618C4"/>
    <w:rsid w:val="00762A22"/>
    <w:rsid w:val="0076305C"/>
    <w:rsid w:val="007638A7"/>
    <w:rsid w:val="00765688"/>
    <w:rsid w:val="00765E1A"/>
    <w:rsid w:val="00765FEB"/>
    <w:rsid w:val="007665DA"/>
    <w:rsid w:val="00767FE1"/>
    <w:rsid w:val="0077099E"/>
    <w:rsid w:val="00772243"/>
    <w:rsid w:val="00772435"/>
    <w:rsid w:val="00772971"/>
    <w:rsid w:val="00772C89"/>
    <w:rsid w:val="00772D93"/>
    <w:rsid w:val="007737B0"/>
    <w:rsid w:val="00773881"/>
    <w:rsid w:val="00775441"/>
    <w:rsid w:val="00775CAD"/>
    <w:rsid w:val="00775E90"/>
    <w:rsid w:val="00776EC3"/>
    <w:rsid w:val="007776CD"/>
    <w:rsid w:val="00777AC6"/>
    <w:rsid w:val="00781843"/>
    <w:rsid w:val="007838D0"/>
    <w:rsid w:val="007845B9"/>
    <w:rsid w:val="00784622"/>
    <w:rsid w:val="00785436"/>
    <w:rsid w:val="0078583B"/>
    <w:rsid w:val="007859FB"/>
    <w:rsid w:val="00787649"/>
    <w:rsid w:val="00787ECA"/>
    <w:rsid w:val="007921A7"/>
    <w:rsid w:val="007924C6"/>
    <w:rsid w:val="00792E36"/>
    <w:rsid w:val="007938F0"/>
    <w:rsid w:val="00793946"/>
    <w:rsid w:val="00793DC3"/>
    <w:rsid w:val="00794089"/>
    <w:rsid w:val="007960BC"/>
    <w:rsid w:val="007A0386"/>
    <w:rsid w:val="007A0746"/>
    <w:rsid w:val="007A236B"/>
    <w:rsid w:val="007A2498"/>
    <w:rsid w:val="007A26E7"/>
    <w:rsid w:val="007A2C18"/>
    <w:rsid w:val="007A2CCD"/>
    <w:rsid w:val="007A3DA3"/>
    <w:rsid w:val="007A4FD9"/>
    <w:rsid w:val="007A5628"/>
    <w:rsid w:val="007A5695"/>
    <w:rsid w:val="007A59D8"/>
    <w:rsid w:val="007A5A5B"/>
    <w:rsid w:val="007A7351"/>
    <w:rsid w:val="007A7483"/>
    <w:rsid w:val="007B1812"/>
    <w:rsid w:val="007B1BC5"/>
    <w:rsid w:val="007B1D8A"/>
    <w:rsid w:val="007B1DA1"/>
    <w:rsid w:val="007B1DF1"/>
    <w:rsid w:val="007B37A7"/>
    <w:rsid w:val="007B3DCC"/>
    <w:rsid w:val="007B3E85"/>
    <w:rsid w:val="007B43A8"/>
    <w:rsid w:val="007B443F"/>
    <w:rsid w:val="007B4C0A"/>
    <w:rsid w:val="007B55ED"/>
    <w:rsid w:val="007B6C13"/>
    <w:rsid w:val="007C0E10"/>
    <w:rsid w:val="007C0EC3"/>
    <w:rsid w:val="007C19B4"/>
    <w:rsid w:val="007C39EA"/>
    <w:rsid w:val="007C3AFA"/>
    <w:rsid w:val="007C4C73"/>
    <w:rsid w:val="007C5215"/>
    <w:rsid w:val="007D0DFB"/>
    <w:rsid w:val="007D1BE7"/>
    <w:rsid w:val="007D219F"/>
    <w:rsid w:val="007D2930"/>
    <w:rsid w:val="007D350D"/>
    <w:rsid w:val="007D3DAD"/>
    <w:rsid w:val="007D448C"/>
    <w:rsid w:val="007D50C8"/>
    <w:rsid w:val="007D581E"/>
    <w:rsid w:val="007D58DE"/>
    <w:rsid w:val="007D67E1"/>
    <w:rsid w:val="007D6CD4"/>
    <w:rsid w:val="007D6EB5"/>
    <w:rsid w:val="007D77D3"/>
    <w:rsid w:val="007D7A8C"/>
    <w:rsid w:val="007D7CA4"/>
    <w:rsid w:val="007E00CC"/>
    <w:rsid w:val="007E08C2"/>
    <w:rsid w:val="007E3766"/>
    <w:rsid w:val="007E4B0C"/>
    <w:rsid w:val="007E5114"/>
    <w:rsid w:val="007E6007"/>
    <w:rsid w:val="007F236A"/>
    <w:rsid w:val="007F2A68"/>
    <w:rsid w:val="007F3038"/>
    <w:rsid w:val="007F3E2E"/>
    <w:rsid w:val="007F3F32"/>
    <w:rsid w:val="007F4603"/>
    <w:rsid w:val="007F47F0"/>
    <w:rsid w:val="007F56CD"/>
    <w:rsid w:val="007F641F"/>
    <w:rsid w:val="007F66BB"/>
    <w:rsid w:val="007F69B7"/>
    <w:rsid w:val="007F7331"/>
    <w:rsid w:val="0080056A"/>
    <w:rsid w:val="00800C50"/>
    <w:rsid w:val="00800F5F"/>
    <w:rsid w:val="00801085"/>
    <w:rsid w:val="00801CF6"/>
    <w:rsid w:val="00801FE3"/>
    <w:rsid w:val="008030FC"/>
    <w:rsid w:val="00803584"/>
    <w:rsid w:val="00803733"/>
    <w:rsid w:val="008039DE"/>
    <w:rsid w:val="00805239"/>
    <w:rsid w:val="008056A4"/>
    <w:rsid w:val="00805A13"/>
    <w:rsid w:val="00810AAE"/>
    <w:rsid w:val="008111B8"/>
    <w:rsid w:val="00813141"/>
    <w:rsid w:val="0081338F"/>
    <w:rsid w:val="008137BA"/>
    <w:rsid w:val="008138F6"/>
    <w:rsid w:val="0081411E"/>
    <w:rsid w:val="00816477"/>
    <w:rsid w:val="00820D02"/>
    <w:rsid w:val="00821541"/>
    <w:rsid w:val="008218D4"/>
    <w:rsid w:val="00821DD9"/>
    <w:rsid w:val="00824D56"/>
    <w:rsid w:val="00825236"/>
    <w:rsid w:val="00825EEE"/>
    <w:rsid w:val="0082608F"/>
    <w:rsid w:val="0082699B"/>
    <w:rsid w:val="0082783F"/>
    <w:rsid w:val="0083056C"/>
    <w:rsid w:val="00832A5D"/>
    <w:rsid w:val="00832A70"/>
    <w:rsid w:val="0083541D"/>
    <w:rsid w:val="00835DAF"/>
    <w:rsid w:val="0083601D"/>
    <w:rsid w:val="00836C54"/>
    <w:rsid w:val="008374A7"/>
    <w:rsid w:val="00837F28"/>
    <w:rsid w:val="00842535"/>
    <w:rsid w:val="008429E9"/>
    <w:rsid w:val="00842C24"/>
    <w:rsid w:val="00842C41"/>
    <w:rsid w:val="008441FF"/>
    <w:rsid w:val="00844770"/>
    <w:rsid w:val="00845935"/>
    <w:rsid w:val="008459F9"/>
    <w:rsid w:val="00845BA8"/>
    <w:rsid w:val="00845C7E"/>
    <w:rsid w:val="00847386"/>
    <w:rsid w:val="00847404"/>
    <w:rsid w:val="00847686"/>
    <w:rsid w:val="00847E9E"/>
    <w:rsid w:val="00850003"/>
    <w:rsid w:val="00850AE0"/>
    <w:rsid w:val="00850E50"/>
    <w:rsid w:val="00851DDD"/>
    <w:rsid w:val="00851E43"/>
    <w:rsid w:val="00852530"/>
    <w:rsid w:val="00853140"/>
    <w:rsid w:val="00853859"/>
    <w:rsid w:val="0085392D"/>
    <w:rsid w:val="0085429E"/>
    <w:rsid w:val="00854C20"/>
    <w:rsid w:val="00855C05"/>
    <w:rsid w:val="00855EEF"/>
    <w:rsid w:val="00856020"/>
    <w:rsid w:val="0085686D"/>
    <w:rsid w:val="00856BC4"/>
    <w:rsid w:val="00857803"/>
    <w:rsid w:val="00860E12"/>
    <w:rsid w:val="00860FFC"/>
    <w:rsid w:val="00861B7B"/>
    <w:rsid w:val="00862A45"/>
    <w:rsid w:val="008631C2"/>
    <w:rsid w:val="00865B52"/>
    <w:rsid w:val="00865D8D"/>
    <w:rsid w:val="008666CE"/>
    <w:rsid w:val="008676B8"/>
    <w:rsid w:val="00867E34"/>
    <w:rsid w:val="008704E1"/>
    <w:rsid w:val="00870D70"/>
    <w:rsid w:val="008711AC"/>
    <w:rsid w:val="00871B18"/>
    <w:rsid w:val="00872CDC"/>
    <w:rsid w:val="00874F5A"/>
    <w:rsid w:val="008753C7"/>
    <w:rsid w:val="008758A6"/>
    <w:rsid w:val="00875C90"/>
    <w:rsid w:val="00876DFA"/>
    <w:rsid w:val="00877C16"/>
    <w:rsid w:val="008822BF"/>
    <w:rsid w:val="00883128"/>
    <w:rsid w:val="0088380B"/>
    <w:rsid w:val="00883B28"/>
    <w:rsid w:val="008844AA"/>
    <w:rsid w:val="00885988"/>
    <w:rsid w:val="008862F6"/>
    <w:rsid w:val="008866F5"/>
    <w:rsid w:val="00886C3E"/>
    <w:rsid w:val="00890750"/>
    <w:rsid w:val="00890B2A"/>
    <w:rsid w:val="00892A5F"/>
    <w:rsid w:val="00892DD8"/>
    <w:rsid w:val="0089300B"/>
    <w:rsid w:val="0089395B"/>
    <w:rsid w:val="0089423E"/>
    <w:rsid w:val="0089686B"/>
    <w:rsid w:val="008977F4"/>
    <w:rsid w:val="00897D1C"/>
    <w:rsid w:val="008A0292"/>
    <w:rsid w:val="008A1F41"/>
    <w:rsid w:val="008A1F80"/>
    <w:rsid w:val="008A207A"/>
    <w:rsid w:val="008A472D"/>
    <w:rsid w:val="008A4F25"/>
    <w:rsid w:val="008A52A4"/>
    <w:rsid w:val="008A6695"/>
    <w:rsid w:val="008A6704"/>
    <w:rsid w:val="008B003A"/>
    <w:rsid w:val="008B03CE"/>
    <w:rsid w:val="008B084B"/>
    <w:rsid w:val="008B1435"/>
    <w:rsid w:val="008B22AF"/>
    <w:rsid w:val="008B2600"/>
    <w:rsid w:val="008B28E4"/>
    <w:rsid w:val="008B2BDC"/>
    <w:rsid w:val="008B3469"/>
    <w:rsid w:val="008B4628"/>
    <w:rsid w:val="008B4CEF"/>
    <w:rsid w:val="008B536F"/>
    <w:rsid w:val="008B65DF"/>
    <w:rsid w:val="008B7A02"/>
    <w:rsid w:val="008B7DB3"/>
    <w:rsid w:val="008C00A1"/>
    <w:rsid w:val="008C1163"/>
    <w:rsid w:val="008C1243"/>
    <w:rsid w:val="008C29A3"/>
    <w:rsid w:val="008C2E61"/>
    <w:rsid w:val="008C349E"/>
    <w:rsid w:val="008C3FC4"/>
    <w:rsid w:val="008C4085"/>
    <w:rsid w:val="008C45C0"/>
    <w:rsid w:val="008C512C"/>
    <w:rsid w:val="008C62E8"/>
    <w:rsid w:val="008C7A6C"/>
    <w:rsid w:val="008C7A90"/>
    <w:rsid w:val="008D0356"/>
    <w:rsid w:val="008D0989"/>
    <w:rsid w:val="008D2AEF"/>
    <w:rsid w:val="008D3D4B"/>
    <w:rsid w:val="008D3ED0"/>
    <w:rsid w:val="008D637F"/>
    <w:rsid w:val="008E0ED9"/>
    <w:rsid w:val="008E2689"/>
    <w:rsid w:val="008E322E"/>
    <w:rsid w:val="008E356A"/>
    <w:rsid w:val="008E6173"/>
    <w:rsid w:val="008E637A"/>
    <w:rsid w:val="008F1252"/>
    <w:rsid w:val="008F1305"/>
    <w:rsid w:val="008F1806"/>
    <w:rsid w:val="008F43C1"/>
    <w:rsid w:val="008F4E78"/>
    <w:rsid w:val="008F667B"/>
    <w:rsid w:val="008F6E24"/>
    <w:rsid w:val="008F7361"/>
    <w:rsid w:val="008F75E9"/>
    <w:rsid w:val="008F799F"/>
    <w:rsid w:val="00900B03"/>
    <w:rsid w:val="00901877"/>
    <w:rsid w:val="009019E6"/>
    <w:rsid w:val="00901DE4"/>
    <w:rsid w:val="00902084"/>
    <w:rsid w:val="00903889"/>
    <w:rsid w:val="00904CF9"/>
    <w:rsid w:val="009060F1"/>
    <w:rsid w:val="00906E7C"/>
    <w:rsid w:val="00907A6A"/>
    <w:rsid w:val="00910017"/>
    <w:rsid w:val="009112A3"/>
    <w:rsid w:val="00912836"/>
    <w:rsid w:val="00913BD0"/>
    <w:rsid w:val="00913C85"/>
    <w:rsid w:val="00914EF3"/>
    <w:rsid w:val="00914F0F"/>
    <w:rsid w:val="00916DC1"/>
    <w:rsid w:val="0091723B"/>
    <w:rsid w:val="00920B20"/>
    <w:rsid w:val="00921B6D"/>
    <w:rsid w:val="009221E3"/>
    <w:rsid w:val="00922571"/>
    <w:rsid w:val="009233AA"/>
    <w:rsid w:val="009239C5"/>
    <w:rsid w:val="00923CAB"/>
    <w:rsid w:val="0092545A"/>
    <w:rsid w:val="00926434"/>
    <w:rsid w:val="00926FA1"/>
    <w:rsid w:val="009273AA"/>
    <w:rsid w:val="00927E51"/>
    <w:rsid w:val="00930052"/>
    <w:rsid w:val="00930224"/>
    <w:rsid w:val="0093083E"/>
    <w:rsid w:val="00930A21"/>
    <w:rsid w:val="00930D0F"/>
    <w:rsid w:val="00931754"/>
    <w:rsid w:val="0093225B"/>
    <w:rsid w:val="0093250F"/>
    <w:rsid w:val="009332E2"/>
    <w:rsid w:val="0093396E"/>
    <w:rsid w:val="009357BF"/>
    <w:rsid w:val="00936A43"/>
    <w:rsid w:val="00936DEF"/>
    <w:rsid w:val="00937A76"/>
    <w:rsid w:val="00937C4C"/>
    <w:rsid w:val="0094236E"/>
    <w:rsid w:val="009429C3"/>
    <w:rsid w:val="009430AF"/>
    <w:rsid w:val="0094383A"/>
    <w:rsid w:val="00944D25"/>
    <w:rsid w:val="00944F65"/>
    <w:rsid w:val="00946CD0"/>
    <w:rsid w:val="0095019B"/>
    <w:rsid w:val="009514F5"/>
    <w:rsid w:val="00952119"/>
    <w:rsid w:val="00952FB4"/>
    <w:rsid w:val="009536DD"/>
    <w:rsid w:val="00953A55"/>
    <w:rsid w:val="00953D05"/>
    <w:rsid w:val="00955237"/>
    <w:rsid w:val="00956FA1"/>
    <w:rsid w:val="00957B48"/>
    <w:rsid w:val="00960A3A"/>
    <w:rsid w:val="00961074"/>
    <w:rsid w:val="009619E0"/>
    <w:rsid w:val="009623C1"/>
    <w:rsid w:val="00963815"/>
    <w:rsid w:val="00963FF2"/>
    <w:rsid w:val="00964D2B"/>
    <w:rsid w:val="009654FC"/>
    <w:rsid w:val="00966112"/>
    <w:rsid w:val="009663F7"/>
    <w:rsid w:val="00967442"/>
    <w:rsid w:val="009702D6"/>
    <w:rsid w:val="0097102A"/>
    <w:rsid w:val="00971888"/>
    <w:rsid w:val="00971CC9"/>
    <w:rsid w:val="0097240E"/>
    <w:rsid w:val="00973E7D"/>
    <w:rsid w:val="00973FDD"/>
    <w:rsid w:val="00974C68"/>
    <w:rsid w:val="00974FFB"/>
    <w:rsid w:val="0097506B"/>
    <w:rsid w:val="00975570"/>
    <w:rsid w:val="00976796"/>
    <w:rsid w:val="00976B8B"/>
    <w:rsid w:val="00980BF0"/>
    <w:rsid w:val="00982B7E"/>
    <w:rsid w:val="00982CEF"/>
    <w:rsid w:val="00983317"/>
    <w:rsid w:val="0098593B"/>
    <w:rsid w:val="00985B53"/>
    <w:rsid w:val="00985B8A"/>
    <w:rsid w:val="00985D43"/>
    <w:rsid w:val="00986685"/>
    <w:rsid w:val="00986BBE"/>
    <w:rsid w:val="009871B6"/>
    <w:rsid w:val="00987E16"/>
    <w:rsid w:val="00995980"/>
    <w:rsid w:val="00995C17"/>
    <w:rsid w:val="00995D0C"/>
    <w:rsid w:val="009960C1"/>
    <w:rsid w:val="009A5561"/>
    <w:rsid w:val="009A6197"/>
    <w:rsid w:val="009A7636"/>
    <w:rsid w:val="009B0049"/>
    <w:rsid w:val="009B1E51"/>
    <w:rsid w:val="009B2788"/>
    <w:rsid w:val="009B2A32"/>
    <w:rsid w:val="009B2E79"/>
    <w:rsid w:val="009B33BC"/>
    <w:rsid w:val="009B4725"/>
    <w:rsid w:val="009B733A"/>
    <w:rsid w:val="009B74E5"/>
    <w:rsid w:val="009B7C4B"/>
    <w:rsid w:val="009C0768"/>
    <w:rsid w:val="009C0951"/>
    <w:rsid w:val="009C147B"/>
    <w:rsid w:val="009C246F"/>
    <w:rsid w:val="009C25FA"/>
    <w:rsid w:val="009C2810"/>
    <w:rsid w:val="009C36A0"/>
    <w:rsid w:val="009C3DC7"/>
    <w:rsid w:val="009C5ACC"/>
    <w:rsid w:val="009C6156"/>
    <w:rsid w:val="009C65CC"/>
    <w:rsid w:val="009C7445"/>
    <w:rsid w:val="009C77DA"/>
    <w:rsid w:val="009C7DAF"/>
    <w:rsid w:val="009D02CA"/>
    <w:rsid w:val="009D0D06"/>
    <w:rsid w:val="009D16C7"/>
    <w:rsid w:val="009D29D9"/>
    <w:rsid w:val="009D4C71"/>
    <w:rsid w:val="009D4DC0"/>
    <w:rsid w:val="009D5778"/>
    <w:rsid w:val="009D6C3B"/>
    <w:rsid w:val="009E0864"/>
    <w:rsid w:val="009E1CEF"/>
    <w:rsid w:val="009E3B0A"/>
    <w:rsid w:val="009E5B66"/>
    <w:rsid w:val="009E5DA3"/>
    <w:rsid w:val="009E6A8E"/>
    <w:rsid w:val="009F0A57"/>
    <w:rsid w:val="009F186B"/>
    <w:rsid w:val="009F3D40"/>
    <w:rsid w:val="009F41BA"/>
    <w:rsid w:val="009F530F"/>
    <w:rsid w:val="009F6797"/>
    <w:rsid w:val="009F6BCF"/>
    <w:rsid w:val="009F7598"/>
    <w:rsid w:val="009F7988"/>
    <w:rsid w:val="00A022D7"/>
    <w:rsid w:val="00A02CEB"/>
    <w:rsid w:val="00A02ECA"/>
    <w:rsid w:val="00A04272"/>
    <w:rsid w:val="00A0531D"/>
    <w:rsid w:val="00A061FD"/>
    <w:rsid w:val="00A06436"/>
    <w:rsid w:val="00A06886"/>
    <w:rsid w:val="00A06C2D"/>
    <w:rsid w:val="00A112FE"/>
    <w:rsid w:val="00A11EBC"/>
    <w:rsid w:val="00A11FFF"/>
    <w:rsid w:val="00A13805"/>
    <w:rsid w:val="00A15712"/>
    <w:rsid w:val="00A16FF1"/>
    <w:rsid w:val="00A17095"/>
    <w:rsid w:val="00A1712D"/>
    <w:rsid w:val="00A17383"/>
    <w:rsid w:val="00A177D5"/>
    <w:rsid w:val="00A17AA7"/>
    <w:rsid w:val="00A2013A"/>
    <w:rsid w:val="00A21840"/>
    <w:rsid w:val="00A21A90"/>
    <w:rsid w:val="00A2441A"/>
    <w:rsid w:val="00A25B0C"/>
    <w:rsid w:val="00A2656E"/>
    <w:rsid w:val="00A26E4F"/>
    <w:rsid w:val="00A306F4"/>
    <w:rsid w:val="00A31894"/>
    <w:rsid w:val="00A31919"/>
    <w:rsid w:val="00A31C22"/>
    <w:rsid w:val="00A31E61"/>
    <w:rsid w:val="00A32995"/>
    <w:rsid w:val="00A32B2A"/>
    <w:rsid w:val="00A32CBA"/>
    <w:rsid w:val="00A35056"/>
    <w:rsid w:val="00A3604C"/>
    <w:rsid w:val="00A3694E"/>
    <w:rsid w:val="00A36A5B"/>
    <w:rsid w:val="00A409B1"/>
    <w:rsid w:val="00A40A8C"/>
    <w:rsid w:val="00A42895"/>
    <w:rsid w:val="00A43599"/>
    <w:rsid w:val="00A4456C"/>
    <w:rsid w:val="00A44FC9"/>
    <w:rsid w:val="00A45608"/>
    <w:rsid w:val="00A46D80"/>
    <w:rsid w:val="00A52FA2"/>
    <w:rsid w:val="00A532CA"/>
    <w:rsid w:val="00A540C4"/>
    <w:rsid w:val="00A56058"/>
    <w:rsid w:val="00A5682C"/>
    <w:rsid w:val="00A570A0"/>
    <w:rsid w:val="00A57100"/>
    <w:rsid w:val="00A6020A"/>
    <w:rsid w:val="00A62835"/>
    <w:rsid w:val="00A63FD0"/>
    <w:rsid w:val="00A6524F"/>
    <w:rsid w:val="00A6782C"/>
    <w:rsid w:val="00A703F9"/>
    <w:rsid w:val="00A715BC"/>
    <w:rsid w:val="00A71E0A"/>
    <w:rsid w:val="00A71ED1"/>
    <w:rsid w:val="00A72195"/>
    <w:rsid w:val="00A723DC"/>
    <w:rsid w:val="00A728B0"/>
    <w:rsid w:val="00A72B44"/>
    <w:rsid w:val="00A736E1"/>
    <w:rsid w:val="00A73832"/>
    <w:rsid w:val="00A744F8"/>
    <w:rsid w:val="00A74563"/>
    <w:rsid w:val="00A757BB"/>
    <w:rsid w:val="00A75F43"/>
    <w:rsid w:val="00A7754A"/>
    <w:rsid w:val="00A778B4"/>
    <w:rsid w:val="00A77D25"/>
    <w:rsid w:val="00A801B2"/>
    <w:rsid w:val="00A8178C"/>
    <w:rsid w:val="00A819E6"/>
    <w:rsid w:val="00A829D0"/>
    <w:rsid w:val="00A83564"/>
    <w:rsid w:val="00A83592"/>
    <w:rsid w:val="00A838BB"/>
    <w:rsid w:val="00A854F6"/>
    <w:rsid w:val="00A86DE2"/>
    <w:rsid w:val="00A90605"/>
    <w:rsid w:val="00A90BB2"/>
    <w:rsid w:val="00A90DFE"/>
    <w:rsid w:val="00A918DC"/>
    <w:rsid w:val="00A92874"/>
    <w:rsid w:val="00A93FBA"/>
    <w:rsid w:val="00A9450C"/>
    <w:rsid w:val="00A94FB2"/>
    <w:rsid w:val="00A95383"/>
    <w:rsid w:val="00A953A6"/>
    <w:rsid w:val="00A95682"/>
    <w:rsid w:val="00A96E2D"/>
    <w:rsid w:val="00A97C38"/>
    <w:rsid w:val="00A97FA8"/>
    <w:rsid w:val="00AA0FBD"/>
    <w:rsid w:val="00AA169B"/>
    <w:rsid w:val="00AA32B8"/>
    <w:rsid w:val="00AA3855"/>
    <w:rsid w:val="00AA3FB5"/>
    <w:rsid w:val="00AA465C"/>
    <w:rsid w:val="00AA46D1"/>
    <w:rsid w:val="00AA4B93"/>
    <w:rsid w:val="00AA531B"/>
    <w:rsid w:val="00AA5681"/>
    <w:rsid w:val="00AA6C8A"/>
    <w:rsid w:val="00AA7027"/>
    <w:rsid w:val="00AA72F9"/>
    <w:rsid w:val="00AA73A7"/>
    <w:rsid w:val="00AB05C2"/>
    <w:rsid w:val="00AB1050"/>
    <w:rsid w:val="00AB1D01"/>
    <w:rsid w:val="00AB2052"/>
    <w:rsid w:val="00AB3320"/>
    <w:rsid w:val="00AB4032"/>
    <w:rsid w:val="00AB4564"/>
    <w:rsid w:val="00AB76A8"/>
    <w:rsid w:val="00AB7975"/>
    <w:rsid w:val="00AB7ACA"/>
    <w:rsid w:val="00AB7D4E"/>
    <w:rsid w:val="00AC04FE"/>
    <w:rsid w:val="00AC05C1"/>
    <w:rsid w:val="00AC063B"/>
    <w:rsid w:val="00AC066B"/>
    <w:rsid w:val="00AC0A15"/>
    <w:rsid w:val="00AC3CC6"/>
    <w:rsid w:val="00AC4509"/>
    <w:rsid w:val="00AC5229"/>
    <w:rsid w:val="00AC52A5"/>
    <w:rsid w:val="00AC53A5"/>
    <w:rsid w:val="00AC59F0"/>
    <w:rsid w:val="00AC5F22"/>
    <w:rsid w:val="00AD0E04"/>
    <w:rsid w:val="00AD0FAA"/>
    <w:rsid w:val="00AD24DF"/>
    <w:rsid w:val="00AD2AE9"/>
    <w:rsid w:val="00AD393F"/>
    <w:rsid w:val="00AD4398"/>
    <w:rsid w:val="00AD530B"/>
    <w:rsid w:val="00AD6C32"/>
    <w:rsid w:val="00AD7D24"/>
    <w:rsid w:val="00AE20FE"/>
    <w:rsid w:val="00AE2881"/>
    <w:rsid w:val="00AE2E07"/>
    <w:rsid w:val="00AE3FBE"/>
    <w:rsid w:val="00AE4367"/>
    <w:rsid w:val="00AE5962"/>
    <w:rsid w:val="00AE5DD1"/>
    <w:rsid w:val="00AE6E5E"/>
    <w:rsid w:val="00AE6F08"/>
    <w:rsid w:val="00AE781A"/>
    <w:rsid w:val="00AE7C28"/>
    <w:rsid w:val="00AF04CE"/>
    <w:rsid w:val="00AF0F97"/>
    <w:rsid w:val="00AF1A48"/>
    <w:rsid w:val="00AF2B02"/>
    <w:rsid w:val="00AF34D7"/>
    <w:rsid w:val="00AF4611"/>
    <w:rsid w:val="00AF57A9"/>
    <w:rsid w:val="00AF63F1"/>
    <w:rsid w:val="00AF78C4"/>
    <w:rsid w:val="00B000B0"/>
    <w:rsid w:val="00B008AD"/>
    <w:rsid w:val="00B00961"/>
    <w:rsid w:val="00B0201D"/>
    <w:rsid w:val="00B034CC"/>
    <w:rsid w:val="00B035A1"/>
    <w:rsid w:val="00B035ED"/>
    <w:rsid w:val="00B0446D"/>
    <w:rsid w:val="00B05E8A"/>
    <w:rsid w:val="00B05F2C"/>
    <w:rsid w:val="00B06008"/>
    <w:rsid w:val="00B075BC"/>
    <w:rsid w:val="00B10A31"/>
    <w:rsid w:val="00B112A1"/>
    <w:rsid w:val="00B1161A"/>
    <w:rsid w:val="00B120E2"/>
    <w:rsid w:val="00B12524"/>
    <w:rsid w:val="00B143F1"/>
    <w:rsid w:val="00B14520"/>
    <w:rsid w:val="00B16084"/>
    <w:rsid w:val="00B1620B"/>
    <w:rsid w:val="00B16D45"/>
    <w:rsid w:val="00B16D95"/>
    <w:rsid w:val="00B16DDD"/>
    <w:rsid w:val="00B1742F"/>
    <w:rsid w:val="00B230C2"/>
    <w:rsid w:val="00B23632"/>
    <w:rsid w:val="00B23DB1"/>
    <w:rsid w:val="00B24086"/>
    <w:rsid w:val="00B2434B"/>
    <w:rsid w:val="00B2497D"/>
    <w:rsid w:val="00B25A43"/>
    <w:rsid w:val="00B25DF0"/>
    <w:rsid w:val="00B2718C"/>
    <w:rsid w:val="00B3019A"/>
    <w:rsid w:val="00B313CC"/>
    <w:rsid w:val="00B31A51"/>
    <w:rsid w:val="00B31B5C"/>
    <w:rsid w:val="00B32E6C"/>
    <w:rsid w:val="00B32F02"/>
    <w:rsid w:val="00B33140"/>
    <w:rsid w:val="00B351FE"/>
    <w:rsid w:val="00B35E3C"/>
    <w:rsid w:val="00B42A01"/>
    <w:rsid w:val="00B44EA8"/>
    <w:rsid w:val="00B475E5"/>
    <w:rsid w:val="00B4775F"/>
    <w:rsid w:val="00B47DB2"/>
    <w:rsid w:val="00B47E31"/>
    <w:rsid w:val="00B50570"/>
    <w:rsid w:val="00B50A53"/>
    <w:rsid w:val="00B52EFF"/>
    <w:rsid w:val="00B55E5E"/>
    <w:rsid w:val="00B55E97"/>
    <w:rsid w:val="00B5633E"/>
    <w:rsid w:val="00B62945"/>
    <w:rsid w:val="00B6318C"/>
    <w:rsid w:val="00B632A4"/>
    <w:rsid w:val="00B63A95"/>
    <w:rsid w:val="00B64DAE"/>
    <w:rsid w:val="00B6519D"/>
    <w:rsid w:val="00B65E74"/>
    <w:rsid w:val="00B70608"/>
    <w:rsid w:val="00B70863"/>
    <w:rsid w:val="00B71A2E"/>
    <w:rsid w:val="00B724FD"/>
    <w:rsid w:val="00B7333A"/>
    <w:rsid w:val="00B745F7"/>
    <w:rsid w:val="00B748C4"/>
    <w:rsid w:val="00B74B94"/>
    <w:rsid w:val="00B76D02"/>
    <w:rsid w:val="00B76E3E"/>
    <w:rsid w:val="00B774DA"/>
    <w:rsid w:val="00B7765B"/>
    <w:rsid w:val="00B802DA"/>
    <w:rsid w:val="00B80C60"/>
    <w:rsid w:val="00B80E19"/>
    <w:rsid w:val="00B81507"/>
    <w:rsid w:val="00B817A2"/>
    <w:rsid w:val="00B818A8"/>
    <w:rsid w:val="00B818CC"/>
    <w:rsid w:val="00B821F8"/>
    <w:rsid w:val="00B822C0"/>
    <w:rsid w:val="00B82773"/>
    <w:rsid w:val="00B82D3E"/>
    <w:rsid w:val="00B83981"/>
    <w:rsid w:val="00B84070"/>
    <w:rsid w:val="00B845D9"/>
    <w:rsid w:val="00B85F85"/>
    <w:rsid w:val="00B865A2"/>
    <w:rsid w:val="00B86808"/>
    <w:rsid w:val="00B90ED7"/>
    <w:rsid w:val="00B918F8"/>
    <w:rsid w:val="00B9253E"/>
    <w:rsid w:val="00B94851"/>
    <w:rsid w:val="00B94BDA"/>
    <w:rsid w:val="00B94C5F"/>
    <w:rsid w:val="00B953A7"/>
    <w:rsid w:val="00B967C9"/>
    <w:rsid w:val="00B97B4F"/>
    <w:rsid w:val="00B97B6F"/>
    <w:rsid w:val="00B97EDF"/>
    <w:rsid w:val="00BA0642"/>
    <w:rsid w:val="00BA29FE"/>
    <w:rsid w:val="00BA33A6"/>
    <w:rsid w:val="00BA4263"/>
    <w:rsid w:val="00BA4B74"/>
    <w:rsid w:val="00BA4D0F"/>
    <w:rsid w:val="00BA4E82"/>
    <w:rsid w:val="00BA5381"/>
    <w:rsid w:val="00BA5627"/>
    <w:rsid w:val="00BA57D1"/>
    <w:rsid w:val="00BA5A97"/>
    <w:rsid w:val="00BA783B"/>
    <w:rsid w:val="00BB008C"/>
    <w:rsid w:val="00BB26E0"/>
    <w:rsid w:val="00BB3847"/>
    <w:rsid w:val="00BB4CC7"/>
    <w:rsid w:val="00BB77F2"/>
    <w:rsid w:val="00BC0361"/>
    <w:rsid w:val="00BC12AE"/>
    <w:rsid w:val="00BC12FC"/>
    <w:rsid w:val="00BC1760"/>
    <w:rsid w:val="00BC2165"/>
    <w:rsid w:val="00BC263B"/>
    <w:rsid w:val="00BC2903"/>
    <w:rsid w:val="00BC2AAC"/>
    <w:rsid w:val="00BC4921"/>
    <w:rsid w:val="00BC5E43"/>
    <w:rsid w:val="00BD0B63"/>
    <w:rsid w:val="00BD1A9E"/>
    <w:rsid w:val="00BD1D5A"/>
    <w:rsid w:val="00BD2180"/>
    <w:rsid w:val="00BD2635"/>
    <w:rsid w:val="00BD43AD"/>
    <w:rsid w:val="00BD4C1C"/>
    <w:rsid w:val="00BD4D13"/>
    <w:rsid w:val="00BD5BDE"/>
    <w:rsid w:val="00BD5E8F"/>
    <w:rsid w:val="00BD70CD"/>
    <w:rsid w:val="00BD7CA0"/>
    <w:rsid w:val="00BD7D92"/>
    <w:rsid w:val="00BE17A0"/>
    <w:rsid w:val="00BE26A6"/>
    <w:rsid w:val="00BE3454"/>
    <w:rsid w:val="00BE51A4"/>
    <w:rsid w:val="00BE6039"/>
    <w:rsid w:val="00BE6422"/>
    <w:rsid w:val="00BE6A55"/>
    <w:rsid w:val="00BE6D12"/>
    <w:rsid w:val="00BE6EC4"/>
    <w:rsid w:val="00BE7425"/>
    <w:rsid w:val="00BF02EB"/>
    <w:rsid w:val="00BF05B6"/>
    <w:rsid w:val="00BF0D63"/>
    <w:rsid w:val="00BF0D8E"/>
    <w:rsid w:val="00BF0E22"/>
    <w:rsid w:val="00BF0FC5"/>
    <w:rsid w:val="00BF13E9"/>
    <w:rsid w:val="00BF1AC8"/>
    <w:rsid w:val="00BF3D3D"/>
    <w:rsid w:val="00BF57E8"/>
    <w:rsid w:val="00BF6C4E"/>
    <w:rsid w:val="00BF6E2D"/>
    <w:rsid w:val="00BF70DD"/>
    <w:rsid w:val="00C011B9"/>
    <w:rsid w:val="00C02118"/>
    <w:rsid w:val="00C02A8C"/>
    <w:rsid w:val="00C030BD"/>
    <w:rsid w:val="00C06514"/>
    <w:rsid w:val="00C068AA"/>
    <w:rsid w:val="00C06CD4"/>
    <w:rsid w:val="00C07B01"/>
    <w:rsid w:val="00C10C53"/>
    <w:rsid w:val="00C14B17"/>
    <w:rsid w:val="00C15A86"/>
    <w:rsid w:val="00C160FC"/>
    <w:rsid w:val="00C16BD9"/>
    <w:rsid w:val="00C174A6"/>
    <w:rsid w:val="00C225A5"/>
    <w:rsid w:val="00C229D2"/>
    <w:rsid w:val="00C22FA4"/>
    <w:rsid w:val="00C23DE5"/>
    <w:rsid w:val="00C277AA"/>
    <w:rsid w:val="00C307FE"/>
    <w:rsid w:val="00C31670"/>
    <w:rsid w:val="00C31C36"/>
    <w:rsid w:val="00C33DB0"/>
    <w:rsid w:val="00C35752"/>
    <w:rsid w:val="00C36326"/>
    <w:rsid w:val="00C37396"/>
    <w:rsid w:val="00C401DD"/>
    <w:rsid w:val="00C402ED"/>
    <w:rsid w:val="00C416DF"/>
    <w:rsid w:val="00C41D3E"/>
    <w:rsid w:val="00C420B3"/>
    <w:rsid w:val="00C441BC"/>
    <w:rsid w:val="00C4471F"/>
    <w:rsid w:val="00C45308"/>
    <w:rsid w:val="00C47CA4"/>
    <w:rsid w:val="00C501AE"/>
    <w:rsid w:val="00C51052"/>
    <w:rsid w:val="00C525E4"/>
    <w:rsid w:val="00C5307E"/>
    <w:rsid w:val="00C538FB"/>
    <w:rsid w:val="00C53B43"/>
    <w:rsid w:val="00C54E1E"/>
    <w:rsid w:val="00C550F6"/>
    <w:rsid w:val="00C55CA8"/>
    <w:rsid w:val="00C57FCB"/>
    <w:rsid w:val="00C60416"/>
    <w:rsid w:val="00C60D44"/>
    <w:rsid w:val="00C61ACF"/>
    <w:rsid w:val="00C621BE"/>
    <w:rsid w:val="00C630ED"/>
    <w:rsid w:val="00C63DF4"/>
    <w:rsid w:val="00C63F00"/>
    <w:rsid w:val="00C64392"/>
    <w:rsid w:val="00C6469F"/>
    <w:rsid w:val="00C64C76"/>
    <w:rsid w:val="00C64F4D"/>
    <w:rsid w:val="00C64F9C"/>
    <w:rsid w:val="00C651AD"/>
    <w:rsid w:val="00C6554D"/>
    <w:rsid w:val="00C6732F"/>
    <w:rsid w:val="00C675B4"/>
    <w:rsid w:val="00C67F35"/>
    <w:rsid w:val="00C70571"/>
    <w:rsid w:val="00C71080"/>
    <w:rsid w:val="00C71110"/>
    <w:rsid w:val="00C715DC"/>
    <w:rsid w:val="00C72335"/>
    <w:rsid w:val="00C74BD0"/>
    <w:rsid w:val="00C75147"/>
    <w:rsid w:val="00C771D4"/>
    <w:rsid w:val="00C80E58"/>
    <w:rsid w:val="00C81345"/>
    <w:rsid w:val="00C8173D"/>
    <w:rsid w:val="00C81CFA"/>
    <w:rsid w:val="00C8209F"/>
    <w:rsid w:val="00C83CE2"/>
    <w:rsid w:val="00C85C58"/>
    <w:rsid w:val="00C86318"/>
    <w:rsid w:val="00C87415"/>
    <w:rsid w:val="00C87909"/>
    <w:rsid w:val="00C87D51"/>
    <w:rsid w:val="00C92728"/>
    <w:rsid w:val="00C928F1"/>
    <w:rsid w:val="00C95484"/>
    <w:rsid w:val="00C958CB"/>
    <w:rsid w:val="00C97BD3"/>
    <w:rsid w:val="00CA16E7"/>
    <w:rsid w:val="00CA2AD2"/>
    <w:rsid w:val="00CA34E7"/>
    <w:rsid w:val="00CA3833"/>
    <w:rsid w:val="00CA4A73"/>
    <w:rsid w:val="00CA56FF"/>
    <w:rsid w:val="00CA67EC"/>
    <w:rsid w:val="00CA6D97"/>
    <w:rsid w:val="00CB219A"/>
    <w:rsid w:val="00CB3688"/>
    <w:rsid w:val="00CB4FB4"/>
    <w:rsid w:val="00CB526E"/>
    <w:rsid w:val="00CB538D"/>
    <w:rsid w:val="00CB64DA"/>
    <w:rsid w:val="00CB6A41"/>
    <w:rsid w:val="00CB758F"/>
    <w:rsid w:val="00CB7B87"/>
    <w:rsid w:val="00CC0023"/>
    <w:rsid w:val="00CC019E"/>
    <w:rsid w:val="00CC02F5"/>
    <w:rsid w:val="00CC0702"/>
    <w:rsid w:val="00CC07DB"/>
    <w:rsid w:val="00CC0D66"/>
    <w:rsid w:val="00CC1120"/>
    <w:rsid w:val="00CC1B5D"/>
    <w:rsid w:val="00CC2C65"/>
    <w:rsid w:val="00CC2CC9"/>
    <w:rsid w:val="00CC312F"/>
    <w:rsid w:val="00CC340F"/>
    <w:rsid w:val="00CC49EB"/>
    <w:rsid w:val="00CC71B0"/>
    <w:rsid w:val="00CD1874"/>
    <w:rsid w:val="00CD1DB7"/>
    <w:rsid w:val="00CD28C8"/>
    <w:rsid w:val="00CD3C7E"/>
    <w:rsid w:val="00CD4069"/>
    <w:rsid w:val="00CD584C"/>
    <w:rsid w:val="00CD595B"/>
    <w:rsid w:val="00CD6655"/>
    <w:rsid w:val="00CD6D13"/>
    <w:rsid w:val="00CD72FB"/>
    <w:rsid w:val="00CE0A35"/>
    <w:rsid w:val="00CE0EF0"/>
    <w:rsid w:val="00CE34F2"/>
    <w:rsid w:val="00CE3AFD"/>
    <w:rsid w:val="00CE4187"/>
    <w:rsid w:val="00CE4431"/>
    <w:rsid w:val="00CE487A"/>
    <w:rsid w:val="00CE4F0B"/>
    <w:rsid w:val="00CE61A1"/>
    <w:rsid w:val="00CE676C"/>
    <w:rsid w:val="00CF0ADD"/>
    <w:rsid w:val="00CF0E8C"/>
    <w:rsid w:val="00CF1BAA"/>
    <w:rsid w:val="00CF208B"/>
    <w:rsid w:val="00CF20FB"/>
    <w:rsid w:val="00CF2610"/>
    <w:rsid w:val="00CF27E9"/>
    <w:rsid w:val="00CF2E16"/>
    <w:rsid w:val="00CF39E8"/>
    <w:rsid w:val="00CF3F6E"/>
    <w:rsid w:val="00CF427B"/>
    <w:rsid w:val="00CF4375"/>
    <w:rsid w:val="00CF4C33"/>
    <w:rsid w:val="00CF55C2"/>
    <w:rsid w:val="00CF6EC3"/>
    <w:rsid w:val="00D00E7A"/>
    <w:rsid w:val="00D01086"/>
    <w:rsid w:val="00D01CA6"/>
    <w:rsid w:val="00D101F8"/>
    <w:rsid w:val="00D1106B"/>
    <w:rsid w:val="00D12577"/>
    <w:rsid w:val="00D159B1"/>
    <w:rsid w:val="00D16A3E"/>
    <w:rsid w:val="00D1709F"/>
    <w:rsid w:val="00D17F7D"/>
    <w:rsid w:val="00D20847"/>
    <w:rsid w:val="00D213DC"/>
    <w:rsid w:val="00D2174E"/>
    <w:rsid w:val="00D22A72"/>
    <w:rsid w:val="00D22C00"/>
    <w:rsid w:val="00D23BFC"/>
    <w:rsid w:val="00D24568"/>
    <w:rsid w:val="00D2474B"/>
    <w:rsid w:val="00D248BE"/>
    <w:rsid w:val="00D25EC3"/>
    <w:rsid w:val="00D268F8"/>
    <w:rsid w:val="00D26ECF"/>
    <w:rsid w:val="00D2764E"/>
    <w:rsid w:val="00D30120"/>
    <w:rsid w:val="00D31A5F"/>
    <w:rsid w:val="00D32026"/>
    <w:rsid w:val="00D322DE"/>
    <w:rsid w:val="00D33324"/>
    <w:rsid w:val="00D33843"/>
    <w:rsid w:val="00D34149"/>
    <w:rsid w:val="00D34E47"/>
    <w:rsid w:val="00D36F96"/>
    <w:rsid w:val="00D37A93"/>
    <w:rsid w:val="00D37CCA"/>
    <w:rsid w:val="00D409CF"/>
    <w:rsid w:val="00D40F4C"/>
    <w:rsid w:val="00D420F0"/>
    <w:rsid w:val="00D425A7"/>
    <w:rsid w:val="00D42BFE"/>
    <w:rsid w:val="00D42E6E"/>
    <w:rsid w:val="00D430A8"/>
    <w:rsid w:val="00D430F4"/>
    <w:rsid w:val="00D43909"/>
    <w:rsid w:val="00D44513"/>
    <w:rsid w:val="00D44823"/>
    <w:rsid w:val="00D44A1F"/>
    <w:rsid w:val="00D44EB0"/>
    <w:rsid w:val="00D451C3"/>
    <w:rsid w:val="00D46DCC"/>
    <w:rsid w:val="00D5158F"/>
    <w:rsid w:val="00D51DED"/>
    <w:rsid w:val="00D5241C"/>
    <w:rsid w:val="00D52677"/>
    <w:rsid w:val="00D53521"/>
    <w:rsid w:val="00D53C07"/>
    <w:rsid w:val="00D545F6"/>
    <w:rsid w:val="00D547A4"/>
    <w:rsid w:val="00D54BB0"/>
    <w:rsid w:val="00D5652C"/>
    <w:rsid w:val="00D566FA"/>
    <w:rsid w:val="00D6137D"/>
    <w:rsid w:val="00D61989"/>
    <w:rsid w:val="00D62055"/>
    <w:rsid w:val="00D6353E"/>
    <w:rsid w:val="00D63A1C"/>
    <w:rsid w:val="00D63AF4"/>
    <w:rsid w:val="00D6518A"/>
    <w:rsid w:val="00D659C1"/>
    <w:rsid w:val="00D675D7"/>
    <w:rsid w:val="00D67B11"/>
    <w:rsid w:val="00D70742"/>
    <w:rsid w:val="00D720AC"/>
    <w:rsid w:val="00D72363"/>
    <w:rsid w:val="00D75847"/>
    <w:rsid w:val="00D77FA1"/>
    <w:rsid w:val="00D80465"/>
    <w:rsid w:val="00D8076B"/>
    <w:rsid w:val="00D80FD4"/>
    <w:rsid w:val="00D8199F"/>
    <w:rsid w:val="00D82015"/>
    <w:rsid w:val="00D8489F"/>
    <w:rsid w:val="00D84B6D"/>
    <w:rsid w:val="00D8590B"/>
    <w:rsid w:val="00D86070"/>
    <w:rsid w:val="00D87E87"/>
    <w:rsid w:val="00D9021C"/>
    <w:rsid w:val="00D90E18"/>
    <w:rsid w:val="00D91A15"/>
    <w:rsid w:val="00D91B52"/>
    <w:rsid w:val="00D91DDD"/>
    <w:rsid w:val="00D91E89"/>
    <w:rsid w:val="00D91ED2"/>
    <w:rsid w:val="00D91F75"/>
    <w:rsid w:val="00D94100"/>
    <w:rsid w:val="00D9753E"/>
    <w:rsid w:val="00DA04DC"/>
    <w:rsid w:val="00DA14B3"/>
    <w:rsid w:val="00DA2AE6"/>
    <w:rsid w:val="00DA2BE7"/>
    <w:rsid w:val="00DA4115"/>
    <w:rsid w:val="00DA42CB"/>
    <w:rsid w:val="00DA4926"/>
    <w:rsid w:val="00DA5658"/>
    <w:rsid w:val="00DA6949"/>
    <w:rsid w:val="00DB07FD"/>
    <w:rsid w:val="00DB1183"/>
    <w:rsid w:val="00DB221D"/>
    <w:rsid w:val="00DB2D5D"/>
    <w:rsid w:val="00DB3B2A"/>
    <w:rsid w:val="00DB450E"/>
    <w:rsid w:val="00DB4589"/>
    <w:rsid w:val="00DB4D7E"/>
    <w:rsid w:val="00DB51D5"/>
    <w:rsid w:val="00DB5F8B"/>
    <w:rsid w:val="00DB6197"/>
    <w:rsid w:val="00DB677F"/>
    <w:rsid w:val="00DB6C60"/>
    <w:rsid w:val="00DB6D97"/>
    <w:rsid w:val="00DB7C48"/>
    <w:rsid w:val="00DC1CCA"/>
    <w:rsid w:val="00DC1F73"/>
    <w:rsid w:val="00DC315F"/>
    <w:rsid w:val="00DC31F7"/>
    <w:rsid w:val="00DC3FB7"/>
    <w:rsid w:val="00DC4EAD"/>
    <w:rsid w:val="00DC60F7"/>
    <w:rsid w:val="00DC6169"/>
    <w:rsid w:val="00DC617B"/>
    <w:rsid w:val="00DC793E"/>
    <w:rsid w:val="00DD1942"/>
    <w:rsid w:val="00DD32E9"/>
    <w:rsid w:val="00DD33DE"/>
    <w:rsid w:val="00DD3900"/>
    <w:rsid w:val="00DD3918"/>
    <w:rsid w:val="00DD5955"/>
    <w:rsid w:val="00DD5B7B"/>
    <w:rsid w:val="00DD5D88"/>
    <w:rsid w:val="00DD675A"/>
    <w:rsid w:val="00DE0962"/>
    <w:rsid w:val="00DE2E50"/>
    <w:rsid w:val="00DE39A2"/>
    <w:rsid w:val="00DE42E3"/>
    <w:rsid w:val="00DE4E0D"/>
    <w:rsid w:val="00DE53B7"/>
    <w:rsid w:val="00DE5751"/>
    <w:rsid w:val="00DE58B0"/>
    <w:rsid w:val="00DE58F9"/>
    <w:rsid w:val="00DE5C4B"/>
    <w:rsid w:val="00DE7729"/>
    <w:rsid w:val="00DF0747"/>
    <w:rsid w:val="00DF1EC1"/>
    <w:rsid w:val="00DF2AF1"/>
    <w:rsid w:val="00DF2B5C"/>
    <w:rsid w:val="00DF2F87"/>
    <w:rsid w:val="00DF3BD4"/>
    <w:rsid w:val="00DF3DFF"/>
    <w:rsid w:val="00DF4B9F"/>
    <w:rsid w:val="00DF516A"/>
    <w:rsid w:val="00DF5189"/>
    <w:rsid w:val="00DF5285"/>
    <w:rsid w:val="00DF5352"/>
    <w:rsid w:val="00DF5730"/>
    <w:rsid w:val="00DF5C9B"/>
    <w:rsid w:val="00DF5E00"/>
    <w:rsid w:val="00DF722D"/>
    <w:rsid w:val="00DF7BF4"/>
    <w:rsid w:val="00DF7E65"/>
    <w:rsid w:val="00E0131F"/>
    <w:rsid w:val="00E020D8"/>
    <w:rsid w:val="00E0235D"/>
    <w:rsid w:val="00E02AF9"/>
    <w:rsid w:val="00E040F2"/>
    <w:rsid w:val="00E05CE1"/>
    <w:rsid w:val="00E07B70"/>
    <w:rsid w:val="00E10AB4"/>
    <w:rsid w:val="00E122F9"/>
    <w:rsid w:val="00E12589"/>
    <w:rsid w:val="00E13903"/>
    <w:rsid w:val="00E16A26"/>
    <w:rsid w:val="00E171DE"/>
    <w:rsid w:val="00E207AC"/>
    <w:rsid w:val="00E2198B"/>
    <w:rsid w:val="00E223C3"/>
    <w:rsid w:val="00E24AD9"/>
    <w:rsid w:val="00E25052"/>
    <w:rsid w:val="00E2556D"/>
    <w:rsid w:val="00E25CB2"/>
    <w:rsid w:val="00E2716D"/>
    <w:rsid w:val="00E2728A"/>
    <w:rsid w:val="00E30112"/>
    <w:rsid w:val="00E322EA"/>
    <w:rsid w:val="00E32869"/>
    <w:rsid w:val="00E32FE8"/>
    <w:rsid w:val="00E33047"/>
    <w:rsid w:val="00E37296"/>
    <w:rsid w:val="00E37EF5"/>
    <w:rsid w:val="00E40EED"/>
    <w:rsid w:val="00E41033"/>
    <w:rsid w:val="00E420B6"/>
    <w:rsid w:val="00E435D1"/>
    <w:rsid w:val="00E43C3A"/>
    <w:rsid w:val="00E44359"/>
    <w:rsid w:val="00E46F68"/>
    <w:rsid w:val="00E50EFE"/>
    <w:rsid w:val="00E52C0B"/>
    <w:rsid w:val="00E530E1"/>
    <w:rsid w:val="00E53C54"/>
    <w:rsid w:val="00E5416C"/>
    <w:rsid w:val="00E55559"/>
    <w:rsid w:val="00E55D07"/>
    <w:rsid w:val="00E55F9B"/>
    <w:rsid w:val="00E564C2"/>
    <w:rsid w:val="00E57144"/>
    <w:rsid w:val="00E579D9"/>
    <w:rsid w:val="00E57B8F"/>
    <w:rsid w:val="00E57E22"/>
    <w:rsid w:val="00E61209"/>
    <w:rsid w:val="00E62ACA"/>
    <w:rsid w:val="00E66821"/>
    <w:rsid w:val="00E66A70"/>
    <w:rsid w:val="00E66C74"/>
    <w:rsid w:val="00E67DA3"/>
    <w:rsid w:val="00E67FB5"/>
    <w:rsid w:val="00E70436"/>
    <w:rsid w:val="00E70C9D"/>
    <w:rsid w:val="00E71A33"/>
    <w:rsid w:val="00E723D6"/>
    <w:rsid w:val="00E72653"/>
    <w:rsid w:val="00E7318C"/>
    <w:rsid w:val="00E734DC"/>
    <w:rsid w:val="00E735DB"/>
    <w:rsid w:val="00E75FE9"/>
    <w:rsid w:val="00E761D9"/>
    <w:rsid w:val="00E76939"/>
    <w:rsid w:val="00E76955"/>
    <w:rsid w:val="00E80498"/>
    <w:rsid w:val="00E80CE5"/>
    <w:rsid w:val="00E81417"/>
    <w:rsid w:val="00E81B38"/>
    <w:rsid w:val="00E828C9"/>
    <w:rsid w:val="00E8328A"/>
    <w:rsid w:val="00E834FE"/>
    <w:rsid w:val="00E835FE"/>
    <w:rsid w:val="00E8505B"/>
    <w:rsid w:val="00E86091"/>
    <w:rsid w:val="00E8675D"/>
    <w:rsid w:val="00E868E8"/>
    <w:rsid w:val="00E87031"/>
    <w:rsid w:val="00E8758A"/>
    <w:rsid w:val="00E90A76"/>
    <w:rsid w:val="00E91E35"/>
    <w:rsid w:val="00E93693"/>
    <w:rsid w:val="00E936A2"/>
    <w:rsid w:val="00E9442C"/>
    <w:rsid w:val="00E94EFD"/>
    <w:rsid w:val="00E9517A"/>
    <w:rsid w:val="00E95195"/>
    <w:rsid w:val="00E954EB"/>
    <w:rsid w:val="00E96027"/>
    <w:rsid w:val="00E97F9E"/>
    <w:rsid w:val="00EA06C4"/>
    <w:rsid w:val="00EA12DF"/>
    <w:rsid w:val="00EA16BC"/>
    <w:rsid w:val="00EA2109"/>
    <w:rsid w:val="00EA26A4"/>
    <w:rsid w:val="00EA6817"/>
    <w:rsid w:val="00EA7F37"/>
    <w:rsid w:val="00EB0B37"/>
    <w:rsid w:val="00EB0D5A"/>
    <w:rsid w:val="00EB2D4E"/>
    <w:rsid w:val="00EB2F93"/>
    <w:rsid w:val="00EB3F5F"/>
    <w:rsid w:val="00EB3F90"/>
    <w:rsid w:val="00EB3F9F"/>
    <w:rsid w:val="00EB4836"/>
    <w:rsid w:val="00EB4D3C"/>
    <w:rsid w:val="00EB68A9"/>
    <w:rsid w:val="00EB7879"/>
    <w:rsid w:val="00EB794F"/>
    <w:rsid w:val="00EC0318"/>
    <w:rsid w:val="00EC1A56"/>
    <w:rsid w:val="00EC3368"/>
    <w:rsid w:val="00EC3472"/>
    <w:rsid w:val="00EC3C85"/>
    <w:rsid w:val="00EC3D34"/>
    <w:rsid w:val="00EC460B"/>
    <w:rsid w:val="00EC5012"/>
    <w:rsid w:val="00EC502F"/>
    <w:rsid w:val="00EC6149"/>
    <w:rsid w:val="00EC6A19"/>
    <w:rsid w:val="00EC717A"/>
    <w:rsid w:val="00ED0016"/>
    <w:rsid w:val="00ED045B"/>
    <w:rsid w:val="00ED30C9"/>
    <w:rsid w:val="00ED315F"/>
    <w:rsid w:val="00ED5959"/>
    <w:rsid w:val="00ED6679"/>
    <w:rsid w:val="00ED7B0C"/>
    <w:rsid w:val="00EE05C8"/>
    <w:rsid w:val="00EE0FF8"/>
    <w:rsid w:val="00EE1946"/>
    <w:rsid w:val="00EE1CAE"/>
    <w:rsid w:val="00EE254D"/>
    <w:rsid w:val="00EE2C5C"/>
    <w:rsid w:val="00EE3850"/>
    <w:rsid w:val="00EE3C3C"/>
    <w:rsid w:val="00EE4AC6"/>
    <w:rsid w:val="00EE5C3D"/>
    <w:rsid w:val="00EE7781"/>
    <w:rsid w:val="00EE78A0"/>
    <w:rsid w:val="00EF0395"/>
    <w:rsid w:val="00EF22CE"/>
    <w:rsid w:val="00EF2801"/>
    <w:rsid w:val="00EF4102"/>
    <w:rsid w:val="00EF484F"/>
    <w:rsid w:val="00EF50BF"/>
    <w:rsid w:val="00EF5F1F"/>
    <w:rsid w:val="00EF6295"/>
    <w:rsid w:val="00EF6779"/>
    <w:rsid w:val="00EF6B63"/>
    <w:rsid w:val="00EF6D95"/>
    <w:rsid w:val="00F001C9"/>
    <w:rsid w:val="00F007FC"/>
    <w:rsid w:val="00F00B5D"/>
    <w:rsid w:val="00F0174A"/>
    <w:rsid w:val="00F01B81"/>
    <w:rsid w:val="00F02325"/>
    <w:rsid w:val="00F02D2F"/>
    <w:rsid w:val="00F03744"/>
    <w:rsid w:val="00F038D6"/>
    <w:rsid w:val="00F040E9"/>
    <w:rsid w:val="00F05068"/>
    <w:rsid w:val="00F059FC"/>
    <w:rsid w:val="00F05CE9"/>
    <w:rsid w:val="00F060CD"/>
    <w:rsid w:val="00F06283"/>
    <w:rsid w:val="00F07A5A"/>
    <w:rsid w:val="00F10C79"/>
    <w:rsid w:val="00F13EAF"/>
    <w:rsid w:val="00F14110"/>
    <w:rsid w:val="00F1573C"/>
    <w:rsid w:val="00F170F6"/>
    <w:rsid w:val="00F17C1F"/>
    <w:rsid w:val="00F20F0B"/>
    <w:rsid w:val="00F240B1"/>
    <w:rsid w:val="00F24345"/>
    <w:rsid w:val="00F250DB"/>
    <w:rsid w:val="00F25B68"/>
    <w:rsid w:val="00F2626D"/>
    <w:rsid w:val="00F26E37"/>
    <w:rsid w:val="00F276E6"/>
    <w:rsid w:val="00F3007A"/>
    <w:rsid w:val="00F313FE"/>
    <w:rsid w:val="00F326FB"/>
    <w:rsid w:val="00F33D2C"/>
    <w:rsid w:val="00F34645"/>
    <w:rsid w:val="00F35396"/>
    <w:rsid w:val="00F422ED"/>
    <w:rsid w:val="00F42B3D"/>
    <w:rsid w:val="00F43126"/>
    <w:rsid w:val="00F43897"/>
    <w:rsid w:val="00F438A9"/>
    <w:rsid w:val="00F4535C"/>
    <w:rsid w:val="00F458EC"/>
    <w:rsid w:val="00F459BF"/>
    <w:rsid w:val="00F4653C"/>
    <w:rsid w:val="00F46FA8"/>
    <w:rsid w:val="00F5088A"/>
    <w:rsid w:val="00F50CBD"/>
    <w:rsid w:val="00F5202B"/>
    <w:rsid w:val="00F54768"/>
    <w:rsid w:val="00F574F9"/>
    <w:rsid w:val="00F6050C"/>
    <w:rsid w:val="00F61AF0"/>
    <w:rsid w:val="00F61F06"/>
    <w:rsid w:val="00F62828"/>
    <w:rsid w:val="00F6295F"/>
    <w:rsid w:val="00F637D6"/>
    <w:rsid w:val="00F64AE7"/>
    <w:rsid w:val="00F651F0"/>
    <w:rsid w:val="00F65F39"/>
    <w:rsid w:val="00F6637F"/>
    <w:rsid w:val="00F66697"/>
    <w:rsid w:val="00F6687C"/>
    <w:rsid w:val="00F709FD"/>
    <w:rsid w:val="00F71538"/>
    <w:rsid w:val="00F72B1C"/>
    <w:rsid w:val="00F74130"/>
    <w:rsid w:val="00F75DC9"/>
    <w:rsid w:val="00F76451"/>
    <w:rsid w:val="00F76754"/>
    <w:rsid w:val="00F7757F"/>
    <w:rsid w:val="00F776BB"/>
    <w:rsid w:val="00F77A1B"/>
    <w:rsid w:val="00F81C5D"/>
    <w:rsid w:val="00F82ADC"/>
    <w:rsid w:val="00F83E1B"/>
    <w:rsid w:val="00F83FC6"/>
    <w:rsid w:val="00F8461B"/>
    <w:rsid w:val="00F848BC"/>
    <w:rsid w:val="00F849F1"/>
    <w:rsid w:val="00F87F7B"/>
    <w:rsid w:val="00F9011F"/>
    <w:rsid w:val="00F918D7"/>
    <w:rsid w:val="00F91F17"/>
    <w:rsid w:val="00F9273B"/>
    <w:rsid w:val="00F92D62"/>
    <w:rsid w:val="00F947C9"/>
    <w:rsid w:val="00F9546A"/>
    <w:rsid w:val="00F9567A"/>
    <w:rsid w:val="00F95B16"/>
    <w:rsid w:val="00F96F11"/>
    <w:rsid w:val="00FA1567"/>
    <w:rsid w:val="00FA2948"/>
    <w:rsid w:val="00FA2EB0"/>
    <w:rsid w:val="00FA3088"/>
    <w:rsid w:val="00FA4207"/>
    <w:rsid w:val="00FA47F8"/>
    <w:rsid w:val="00FA494D"/>
    <w:rsid w:val="00FA5EC4"/>
    <w:rsid w:val="00FA6756"/>
    <w:rsid w:val="00FA6DCC"/>
    <w:rsid w:val="00FB081D"/>
    <w:rsid w:val="00FB0B3D"/>
    <w:rsid w:val="00FB0FD2"/>
    <w:rsid w:val="00FB1EA0"/>
    <w:rsid w:val="00FB357F"/>
    <w:rsid w:val="00FB40C0"/>
    <w:rsid w:val="00FB4901"/>
    <w:rsid w:val="00FB54BF"/>
    <w:rsid w:val="00FB5B75"/>
    <w:rsid w:val="00FB7544"/>
    <w:rsid w:val="00FB7D53"/>
    <w:rsid w:val="00FC1057"/>
    <w:rsid w:val="00FC25D0"/>
    <w:rsid w:val="00FC266F"/>
    <w:rsid w:val="00FC3A5F"/>
    <w:rsid w:val="00FC408B"/>
    <w:rsid w:val="00FC547B"/>
    <w:rsid w:val="00FC5D13"/>
    <w:rsid w:val="00FC62DC"/>
    <w:rsid w:val="00FC6E21"/>
    <w:rsid w:val="00FC7EEB"/>
    <w:rsid w:val="00FD020A"/>
    <w:rsid w:val="00FD0298"/>
    <w:rsid w:val="00FD0A9A"/>
    <w:rsid w:val="00FD0CBD"/>
    <w:rsid w:val="00FD2076"/>
    <w:rsid w:val="00FD3C4C"/>
    <w:rsid w:val="00FD46F6"/>
    <w:rsid w:val="00FD7C50"/>
    <w:rsid w:val="00FE0C63"/>
    <w:rsid w:val="00FE612B"/>
    <w:rsid w:val="00FE6C21"/>
    <w:rsid w:val="00FE763C"/>
    <w:rsid w:val="00FE76EE"/>
    <w:rsid w:val="00FE7761"/>
    <w:rsid w:val="00FE7884"/>
    <w:rsid w:val="00FF082D"/>
    <w:rsid w:val="00FF09A1"/>
    <w:rsid w:val="00FF315C"/>
    <w:rsid w:val="00FF50F4"/>
    <w:rsid w:val="00FF686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BC51A4"/>
  <w15:chartTrackingRefBased/>
  <w15:docId w15:val="{D5997D68-250F-4549-9195-448F128D39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0C4FF6"/>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5B7259"/>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5B7259"/>
    <w:rPr>
      <w:rFonts w:ascii="Segoe UI" w:hAnsi="Segoe UI" w:cs="Segoe UI"/>
      <w:sz w:val="18"/>
      <w:szCs w:val="18"/>
    </w:rPr>
  </w:style>
  <w:style w:type="paragraph" w:styleId="Testonotaapidipagina">
    <w:name w:val="footnote text"/>
    <w:basedOn w:val="Normale"/>
    <w:link w:val="TestonotaapidipaginaCarattere"/>
    <w:uiPriority w:val="99"/>
    <w:semiHidden/>
    <w:unhideWhenUsed/>
    <w:rsid w:val="004F3B3E"/>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4F3B3E"/>
    <w:rPr>
      <w:sz w:val="20"/>
      <w:szCs w:val="20"/>
    </w:rPr>
  </w:style>
  <w:style w:type="character" w:styleId="Rimandonotaapidipagina">
    <w:name w:val="footnote reference"/>
    <w:basedOn w:val="Carpredefinitoparagrafo"/>
    <w:uiPriority w:val="99"/>
    <w:semiHidden/>
    <w:unhideWhenUsed/>
    <w:rsid w:val="004F3B3E"/>
    <w:rPr>
      <w:vertAlign w:val="superscript"/>
    </w:rPr>
  </w:style>
  <w:style w:type="paragraph" w:styleId="Paragrafoelenco">
    <w:name w:val="List Paragraph"/>
    <w:basedOn w:val="Normale"/>
    <w:uiPriority w:val="34"/>
    <w:qFormat/>
    <w:rsid w:val="000539B2"/>
    <w:pPr>
      <w:ind w:left="720"/>
      <w:contextualSpacing/>
    </w:pPr>
  </w:style>
  <w:style w:type="character" w:styleId="Rimandocommento">
    <w:name w:val="annotation reference"/>
    <w:basedOn w:val="Carpredefinitoparagrafo"/>
    <w:uiPriority w:val="99"/>
    <w:semiHidden/>
    <w:unhideWhenUsed/>
    <w:rsid w:val="00EC3D34"/>
    <w:rPr>
      <w:sz w:val="16"/>
      <w:szCs w:val="16"/>
    </w:rPr>
  </w:style>
  <w:style w:type="paragraph" w:styleId="Testocommento">
    <w:name w:val="annotation text"/>
    <w:basedOn w:val="Normale"/>
    <w:link w:val="TestocommentoCarattere"/>
    <w:uiPriority w:val="99"/>
    <w:unhideWhenUsed/>
    <w:rsid w:val="00EC3D34"/>
    <w:pPr>
      <w:spacing w:line="240" w:lineRule="auto"/>
    </w:pPr>
    <w:rPr>
      <w:sz w:val="20"/>
      <w:szCs w:val="20"/>
    </w:rPr>
  </w:style>
  <w:style w:type="character" w:customStyle="1" w:styleId="TestocommentoCarattere">
    <w:name w:val="Testo commento Carattere"/>
    <w:basedOn w:val="Carpredefinitoparagrafo"/>
    <w:link w:val="Testocommento"/>
    <w:uiPriority w:val="99"/>
    <w:rsid w:val="00EC3D34"/>
    <w:rPr>
      <w:sz w:val="20"/>
      <w:szCs w:val="20"/>
    </w:rPr>
  </w:style>
  <w:style w:type="paragraph" w:styleId="Soggettocommento">
    <w:name w:val="annotation subject"/>
    <w:basedOn w:val="Testocommento"/>
    <w:next w:val="Testocommento"/>
    <w:link w:val="SoggettocommentoCarattere"/>
    <w:uiPriority w:val="99"/>
    <w:semiHidden/>
    <w:unhideWhenUsed/>
    <w:rsid w:val="00EC3D34"/>
    <w:rPr>
      <w:b/>
      <w:bCs/>
    </w:rPr>
  </w:style>
  <w:style w:type="character" w:customStyle="1" w:styleId="SoggettocommentoCarattere">
    <w:name w:val="Soggetto commento Carattere"/>
    <w:basedOn w:val="TestocommentoCarattere"/>
    <w:link w:val="Soggettocommento"/>
    <w:uiPriority w:val="99"/>
    <w:semiHidden/>
    <w:rsid w:val="00EC3D34"/>
    <w:rPr>
      <w:b/>
      <w:bCs/>
      <w:sz w:val="20"/>
      <w:szCs w:val="20"/>
    </w:rPr>
  </w:style>
  <w:style w:type="paragraph" w:styleId="Intestazione">
    <w:name w:val="header"/>
    <w:basedOn w:val="Normale"/>
    <w:link w:val="IntestazioneCarattere"/>
    <w:uiPriority w:val="99"/>
    <w:unhideWhenUsed/>
    <w:rsid w:val="00304AEE"/>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304AEE"/>
  </w:style>
  <w:style w:type="paragraph" w:styleId="Pidipagina">
    <w:name w:val="footer"/>
    <w:basedOn w:val="Normale"/>
    <w:link w:val="PidipaginaCarattere"/>
    <w:uiPriority w:val="99"/>
    <w:unhideWhenUsed/>
    <w:rsid w:val="00304AEE"/>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304AE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6308202">
      <w:bodyDiv w:val="1"/>
      <w:marLeft w:val="0"/>
      <w:marRight w:val="0"/>
      <w:marTop w:val="0"/>
      <w:marBottom w:val="0"/>
      <w:divBdr>
        <w:top w:val="none" w:sz="0" w:space="0" w:color="auto"/>
        <w:left w:val="none" w:sz="0" w:space="0" w:color="auto"/>
        <w:bottom w:val="none" w:sz="0" w:space="0" w:color="auto"/>
        <w:right w:val="none" w:sz="0" w:space="0" w:color="auto"/>
      </w:divBdr>
    </w:div>
    <w:div w:id="1154447406">
      <w:bodyDiv w:val="1"/>
      <w:marLeft w:val="0"/>
      <w:marRight w:val="0"/>
      <w:marTop w:val="0"/>
      <w:marBottom w:val="0"/>
      <w:divBdr>
        <w:top w:val="none" w:sz="0" w:space="0" w:color="auto"/>
        <w:left w:val="none" w:sz="0" w:space="0" w:color="auto"/>
        <w:bottom w:val="none" w:sz="0" w:space="0" w:color="auto"/>
        <w:right w:val="none" w:sz="0" w:space="0" w:color="auto"/>
      </w:divBdr>
    </w:div>
    <w:div w:id="1175537684">
      <w:bodyDiv w:val="1"/>
      <w:marLeft w:val="0"/>
      <w:marRight w:val="0"/>
      <w:marTop w:val="0"/>
      <w:marBottom w:val="0"/>
      <w:divBdr>
        <w:top w:val="none" w:sz="0" w:space="0" w:color="auto"/>
        <w:left w:val="none" w:sz="0" w:space="0" w:color="auto"/>
        <w:bottom w:val="none" w:sz="0" w:space="0" w:color="auto"/>
        <w:right w:val="none" w:sz="0" w:space="0" w:color="auto"/>
      </w:divBdr>
      <w:divsChild>
        <w:div w:id="245192188">
          <w:marLeft w:val="1080"/>
          <w:marRight w:val="0"/>
          <w:marTop w:val="120"/>
          <w:marBottom w:val="120"/>
          <w:divBdr>
            <w:top w:val="none" w:sz="0" w:space="0" w:color="auto"/>
            <w:left w:val="none" w:sz="0" w:space="0" w:color="auto"/>
            <w:bottom w:val="none" w:sz="0" w:space="0" w:color="auto"/>
            <w:right w:val="none" w:sz="0" w:space="0" w:color="auto"/>
          </w:divBdr>
        </w:div>
        <w:div w:id="740071">
          <w:marLeft w:val="1080"/>
          <w:marRight w:val="0"/>
          <w:marTop w:val="120"/>
          <w:marBottom w:val="120"/>
          <w:divBdr>
            <w:top w:val="none" w:sz="0" w:space="0" w:color="auto"/>
            <w:left w:val="none" w:sz="0" w:space="0" w:color="auto"/>
            <w:bottom w:val="none" w:sz="0" w:space="0" w:color="auto"/>
            <w:right w:val="none" w:sz="0" w:space="0" w:color="auto"/>
          </w:divBdr>
        </w:div>
        <w:div w:id="840969405">
          <w:marLeft w:val="1080"/>
          <w:marRight w:val="0"/>
          <w:marTop w:val="120"/>
          <w:marBottom w:val="120"/>
          <w:divBdr>
            <w:top w:val="none" w:sz="0" w:space="0" w:color="auto"/>
            <w:left w:val="none" w:sz="0" w:space="0" w:color="auto"/>
            <w:bottom w:val="none" w:sz="0" w:space="0" w:color="auto"/>
            <w:right w:val="none" w:sz="0" w:space="0" w:color="auto"/>
          </w:divBdr>
        </w:div>
        <w:div w:id="777869300">
          <w:marLeft w:val="1080"/>
          <w:marRight w:val="0"/>
          <w:marTop w:val="120"/>
          <w:marBottom w:val="120"/>
          <w:divBdr>
            <w:top w:val="none" w:sz="0" w:space="0" w:color="auto"/>
            <w:left w:val="none" w:sz="0" w:space="0" w:color="auto"/>
            <w:bottom w:val="none" w:sz="0" w:space="0" w:color="auto"/>
            <w:right w:val="none" w:sz="0" w:space="0" w:color="auto"/>
          </w:divBdr>
        </w:div>
      </w:divsChild>
    </w:div>
    <w:div w:id="1315067768">
      <w:bodyDiv w:val="1"/>
      <w:marLeft w:val="0"/>
      <w:marRight w:val="0"/>
      <w:marTop w:val="0"/>
      <w:marBottom w:val="0"/>
      <w:divBdr>
        <w:top w:val="none" w:sz="0" w:space="0" w:color="auto"/>
        <w:left w:val="none" w:sz="0" w:space="0" w:color="auto"/>
        <w:bottom w:val="none" w:sz="0" w:space="0" w:color="auto"/>
        <w:right w:val="none" w:sz="0" w:space="0" w:color="auto"/>
      </w:divBdr>
    </w:div>
    <w:div w:id="1774327677">
      <w:bodyDiv w:val="1"/>
      <w:marLeft w:val="0"/>
      <w:marRight w:val="0"/>
      <w:marTop w:val="0"/>
      <w:marBottom w:val="0"/>
      <w:divBdr>
        <w:top w:val="none" w:sz="0" w:space="0" w:color="auto"/>
        <w:left w:val="none" w:sz="0" w:space="0" w:color="auto"/>
        <w:bottom w:val="none" w:sz="0" w:space="0" w:color="auto"/>
        <w:right w:val="none" w:sz="0" w:space="0" w:color="auto"/>
      </w:divBdr>
      <w:divsChild>
        <w:div w:id="1059019268">
          <w:marLeft w:val="0"/>
          <w:marRight w:val="0"/>
          <w:marTop w:val="100"/>
          <w:marBottom w:val="0"/>
          <w:divBdr>
            <w:top w:val="none" w:sz="0" w:space="0" w:color="auto"/>
            <w:left w:val="none" w:sz="0" w:space="0" w:color="auto"/>
            <w:bottom w:val="none" w:sz="0" w:space="0" w:color="auto"/>
            <w:right w:val="none" w:sz="0" w:space="0" w:color="auto"/>
          </w:divBdr>
        </w:div>
      </w:divsChild>
    </w:div>
    <w:div w:id="1858349844">
      <w:bodyDiv w:val="1"/>
      <w:marLeft w:val="0"/>
      <w:marRight w:val="0"/>
      <w:marTop w:val="0"/>
      <w:marBottom w:val="0"/>
      <w:divBdr>
        <w:top w:val="none" w:sz="0" w:space="0" w:color="auto"/>
        <w:left w:val="none" w:sz="0" w:space="0" w:color="auto"/>
        <w:bottom w:val="none" w:sz="0" w:space="0" w:color="auto"/>
        <w:right w:val="none" w:sz="0" w:space="0" w:color="auto"/>
      </w:divBdr>
      <w:divsChild>
        <w:div w:id="713043000">
          <w:marLeft w:val="0"/>
          <w:marRight w:val="0"/>
          <w:marTop w:val="100"/>
          <w:marBottom w:val="0"/>
          <w:divBdr>
            <w:top w:val="none" w:sz="0" w:space="0" w:color="auto"/>
            <w:left w:val="none" w:sz="0" w:space="0" w:color="auto"/>
            <w:bottom w:val="none" w:sz="0" w:space="0" w:color="auto"/>
            <w:right w:val="none" w:sz="0" w:space="0" w:color="auto"/>
          </w:divBdr>
        </w:div>
        <w:div w:id="888149234">
          <w:marLeft w:val="0"/>
          <w:marRight w:val="0"/>
          <w:marTop w:val="100"/>
          <w:marBottom w:val="0"/>
          <w:divBdr>
            <w:top w:val="none" w:sz="0" w:space="0" w:color="auto"/>
            <w:left w:val="none" w:sz="0" w:space="0" w:color="auto"/>
            <w:bottom w:val="none" w:sz="0" w:space="0" w:color="auto"/>
            <w:right w:val="none" w:sz="0" w:space="0" w:color="auto"/>
          </w:divBdr>
        </w:div>
        <w:div w:id="594291448">
          <w:marLeft w:val="0"/>
          <w:marRight w:val="0"/>
          <w:marTop w:val="100"/>
          <w:marBottom w:val="0"/>
          <w:divBdr>
            <w:top w:val="none" w:sz="0" w:space="0" w:color="auto"/>
            <w:left w:val="none" w:sz="0" w:space="0" w:color="auto"/>
            <w:bottom w:val="none" w:sz="0" w:space="0" w:color="auto"/>
            <w:right w:val="none" w:sz="0" w:space="0" w:color="auto"/>
          </w:divBdr>
        </w:div>
      </w:divsChild>
    </w:div>
    <w:div w:id="1949507778">
      <w:bodyDiv w:val="1"/>
      <w:marLeft w:val="0"/>
      <w:marRight w:val="0"/>
      <w:marTop w:val="0"/>
      <w:marBottom w:val="0"/>
      <w:divBdr>
        <w:top w:val="none" w:sz="0" w:space="0" w:color="auto"/>
        <w:left w:val="none" w:sz="0" w:space="0" w:color="auto"/>
        <w:bottom w:val="none" w:sz="0" w:space="0" w:color="auto"/>
        <w:right w:val="none" w:sz="0" w:space="0" w:color="auto"/>
      </w:divBdr>
      <w:divsChild>
        <w:div w:id="1607695450">
          <w:marLeft w:val="1080"/>
          <w:marRight w:val="0"/>
          <w:marTop w:val="120"/>
          <w:marBottom w:val="120"/>
          <w:divBdr>
            <w:top w:val="none" w:sz="0" w:space="0" w:color="auto"/>
            <w:left w:val="none" w:sz="0" w:space="0" w:color="auto"/>
            <w:bottom w:val="none" w:sz="0" w:space="0" w:color="auto"/>
            <w:right w:val="none" w:sz="0" w:space="0" w:color="auto"/>
          </w:divBdr>
        </w:div>
        <w:div w:id="1841193867">
          <w:marLeft w:val="1080"/>
          <w:marRight w:val="0"/>
          <w:marTop w:val="120"/>
          <w:marBottom w:val="120"/>
          <w:divBdr>
            <w:top w:val="none" w:sz="0" w:space="0" w:color="auto"/>
            <w:left w:val="none" w:sz="0" w:space="0" w:color="auto"/>
            <w:bottom w:val="none" w:sz="0" w:space="0" w:color="auto"/>
            <w:right w:val="none" w:sz="0" w:space="0" w:color="auto"/>
          </w:divBdr>
        </w:div>
      </w:divsChild>
    </w:div>
    <w:div w:id="2007174294">
      <w:bodyDiv w:val="1"/>
      <w:marLeft w:val="0"/>
      <w:marRight w:val="0"/>
      <w:marTop w:val="0"/>
      <w:marBottom w:val="0"/>
      <w:divBdr>
        <w:top w:val="none" w:sz="0" w:space="0" w:color="auto"/>
        <w:left w:val="none" w:sz="0" w:space="0" w:color="auto"/>
        <w:bottom w:val="none" w:sz="0" w:space="0" w:color="auto"/>
        <w:right w:val="none" w:sz="0" w:space="0" w:color="auto"/>
      </w:divBdr>
    </w:div>
    <w:div w:id="21054909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78C296666A26F438A44217F53345480" ma:contentTypeVersion="10" ma:contentTypeDescription="Create a new document." ma:contentTypeScope="" ma:versionID="040fd4e619e701456e2fce2a7fa24ed7">
  <xsd:schema xmlns:xsd="http://www.w3.org/2001/XMLSchema" xmlns:xs="http://www.w3.org/2001/XMLSchema" xmlns:p="http://schemas.microsoft.com/office/2006/metadata/properties" xmlns:ns3="9ad6ac1b-497a-4af7-8964-5aaa80ef4905" targetNamespace="http://schemas.microsoft.com/office/2006/metadata/properties" ma:root="true" ma:fieldsID="971ce6780cc52971dc761748d7a029bc" ns3:_="">
    <xsd:import namespace="9ad6ac1b-497a-4af7-8964-5aaa80ef4905"/>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ad6ac1b-497a-4af7-8964-5aaa80ef490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8F72A26-BE99-49CC-BD6A-9A82B5EC04F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ad6ac1b-497a-4af7-8964-5aaa80ef49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3CFACB2-C66B-40DE-9C99-26D187773C9E}">
  <ds:schemaRefs>
    <ds:schemaRef ds:uri="http://schemas.openxmlformats.org/officeDocument/2006/bibliography"/>
  </ds:schemaRefs>
</ds:datastoreItem>
</file>

<file path=customXml/itemProps3.xml><?xml version="1.0" encoding="utf-8"?>
<ds:datastoreItem xmlns:ds="http://schemas.openxmlformats.org/officeDocument/2006/customXml" ds:itemID="{21D59F0E-4994-45D8-A49F-3EA81229572D}">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09D81936-C92A-4EC5-BA27-3DF5729D7D2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939</TotalTime>
  <Pages>10</Pages>
  <Words>4743</Words>
  <Characters>27036</Characters>
  <Application>Microsoft Office Word</Application>
  <DocSecurity>0</DocSecurity>
  <Lines>225</Lines>
  <Paragraphs>63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31716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Leonardo Benvenuto</dc:creator>
  <cp:keywords/>
  <dc:description/>
  <cp:lastModifiedBy>Valentina Allotti</cp:lastModifiedBy>
  <cp:revision>517</cp:revision>
  <cp:lastPrinted>2022-07-27T15:01:00Z</cp:lastPrinted>
  <dcterms:created xsi:type="dcterms:W3CDTF">2022-07-05T17:27:00Z</dcterms:created>
  <dcterms:modified xsi:type="dcterms:W3CDTF">2022-08-01T11:02:00Z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0x010100178C296666A26F438A44217F53345480</vt:lpwstr>
  </property>
</Properties>
</file>