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48" w:rsidRDefault="00C34048" w:rsidP="004161D8">
      <w:pPr>
        <w:jc w:val="both"/>
      </w:pPr>
    </w:p>
    <w:p w:rsidR="000E1883" w:rsidRPr="0015231B" w:rsidRDefault="000E1883" w:rsidP="00A43FEE">
      <w:pPr>
        <w:jc w:val="center"/>
        <w:rPr>
          <w:b/>
          <w:sz w:val="32"/>
          <w:szCs w:val="32"/>
        </w:rPr>
      </w:pPr>
      <w:r w:rsidRPr="0015231B">
        <w:rPr>
          <w:b/>
          <w:sz w:val="32"/>
          <w:szCs w:val="32"/>
        </w:rPr>
        <w:t>Ministry of Commerce of the People’s Republic of China</w:t>
      </w:r>
    </w:p>
    <w:p w:rsidR="000E1883" w:rsidRPr="0015231B" w:rsidRDefault="000E1883" w:rsidP="00A43FEE">
      <w:pPr>
        <w:jc w:val="center"/>
        <w:rPr>
          <w:b/>
          <w:sz w:val="32"/>
          <w:szCs w:val="32"/>
        </w:rPr>
      </w:pPr>
      <w:r w:rsidRPr="0015231B">
        <w:rPr>
          <w:b/>
          <w:sz w:val="32"/>
          <w:szCs w:val="32"/>
        </w:rPr>
        <w:t xml:space="preserve">Notice </w:t>
      </w:r>
      <w:r w:rsidRPr="0015231B">
        <w:rPr>
          <w:rFonts w:hint="eastAsia"/>
          <w:b/>
          <w:sz w:val="32"/>
          <w:szCs w:val="32"/>
        </w:rPr>
        <w:t>N</w:t>
      </w:r>
      <w:r w:rsidRPr="0015231B">
        <w:rPr>
          <w:b/>
          <w:sz w:val="32"/>
          <w:szCs w:val="32"/>
        </w:rPr>
        <w:t>o.</w:t>
      </w:r>
      <w:r w:rsidR="004161D8" w:rsidRPr="0015231B">
        <w:rPr>
          <w:b/>
          <w:sz w:val="32"/>
          <w:szCs w:val="32"/>
        </w:rPr>
        <w:t>2</w:t>
      </w:r>
      <w:r w:rsidR="006B1116">
        <w:rPr>
          <w:rFonts w:hint="eastAsia"/>
          <w:b/>
          <w:sz w:val="32"/>
          <w:szCs w:val="32"/>
        </w:rPr>
        <w:t>1</w:t>
      </w:r>
      <w:r w:rsidR="006672C5" w:rsidRPr="0015231B">
        <w:rPr>
          <w:b/>
          <w:sz w:val="32"/>
          <w:szCs w:val="32"/>
        </w:rPr>
        <w:t xml:space="preserve"> </w:t>
      </w:r>
      <w:r w:rsidRPr="0015231B">
        <w:rPr>
          <w:b/>
          <w:sz w:val="32"/>
          <w:szCs w:val="32"/>
        </w:rPr>
        <w:t>(201</w:t>
      </w:r>
      <w:r w:rsidR="00647818" w:rsidRPr="0015231B">
        <w:rPr>
          <w:b/>
          <w:sz w:val="32"/>
          <w:szCs w:val="32"/>
        </w:rPr>
        <w:t>9</w:t>
      </w:r>
      <w:r w:rsidRPr="0015231B">
        <w:rPr>
          <w:b/>
          <w:sz w:val="32"/>
          <w:szCs w:val="32"/>
        </w:rPr>
        <w:t>)</w:t>
      </w:r>
    </w:p>
    <w:p w:rsidR="000E1883" w:rsidRPr="0015231B" w:rsidRDefault="000E1883" w:rsidP="004161D8">
      <w:pPr>
        <w:jc w:val="both"/>
      </w:pPr>
    </w:p>
    <w:p w:rsidR="000E1883" w:rsidRPr="0015231B" w:rsidRDefault="000E1883" w:rsidP="004161D8">
      <w:pPr>
        <w:jc w:val="both"/>
      </w:pPr>
    </w:p>
    <w:p w:rsidR="006672C5" w:rsidRPr="0015231B" w:rsidRDefault="00594F0B" w:rsidP="004161D8">
      <w:pPr>
        <w:jc w:val="both"/>
      </w:pPr>
      <w:r w:rsidRPr="0015231B">
        <w:t xml:space="preserve">On </w:t>
      </w:r>
      <w:r w:rsidR="006B1116">
        <w:rPr>
          <w:rFonts w:hint="eastAsia"/>
        </w:rPr>
        <w:t>30</w:t>
      </w:r>
      <w:r w:rsidR="00647818" w:rsidRPr="0015231B">
        <w:t xml:space="preserve"> May 2014</w:t>
      </w:r>
      <w:r w:rsidRPr="0015231B">
        <w:t xml:space="preserve">, the Ministry of Commerce </w:t>
      </w:r>
      <w:r w:rsidR="00B213B5" w:rsidRPr="0015231B">
        <w:rPr>
          <w:rFonts w:hint="eastAsia"/>
        </w:rPr>
        <w:t xml:space="preserve">published the annual notice No. </w:t>
      </w:r>
      <w:r w:rsidR="006B1116">
        <w:t>3</w:t>
      </w:r>
      <w:r w:rsidR="006B1116">
        <w:rPr>
          <w:rFonts w:hint="eastAsia"/>
        </w:rPr>
        <w:t>2</w:t>
      </w:r>
      <w:r w:rsidR="00B213B5" w:rsidRPr="0015231B">
        <w:rPr>
          <w:rFonts w:hint="eastAsia"/>
        </w:rPr>
        <w:t xml:space="preserve"> and de</w:t>
      </w:r>
      <w:r w:rsidR="006B1116">
        <w:rPr>
          <w:rFonts w:hint="eastAsia"/>
        </w:rPr>
        <w:t>cided to impose</w:t>
      </w:r>
      <w:r w:rsidR="00B213B5" w:rsidRPr="0015231B">
        <w:rPr>
          <w:rFonts w:hint="eastAsia"/>
        </w:rPr>
        <w:t xml:space="preserve"> </w:t>
      </w:r>
      <w:r w:rsidR="00F32C37" w:rsidRPr="0015231B">
        <w:t xml:space="preserve">the anti-dumping measures to imports of </w:t>
      </w:r>
      <w:r w:rsidR="006B1116" w:rsidRPr="006B1116">
        <w:t xml:space="preserve">Perchlorethylene or Tetrachloroethylene (PCE) </w:t>
      </w:r>
      <w:r w:rsidR="00F32C37" w:rsidRPr="0015231B">
        <w:t xml:space="preserve">originating from </w:t>
      </w:r>
      <w:r w:rsidR="00647818" w:rsidRPr="0015231B">
        <w:t xml:space="preserve">US and </w:t>
      </w:r>
      <w:r w:rsidR="00F32C37" w:rsidRPr="0015231B">
        <w:t>the EU</w:t>
      </w:r>
      <w:r w:rsidR="006672C5" w:rsidRPr="0015231B">
        <w:t xml:space="preserve"> for 5 yea</w:t>
      </w:r>
      <w:r w:rsidR="004161D8" w:rsidRPr="0015231B">
        <w:t xml:space="preserve">rs, as of </w:t>
      </w:r>
      <w:r w:rsidR="006B1116">
        <w:rPr>
          <w:rFonts w:hint="eastAsia"/>
        </w:rPr>
        <w:t>31</w:t>
      </w:r>
      <w:r w:rsidR="00647818" w:rsidRPr="0015231B">
        <w:t xml:space="preserve"> May 2014</w:t>
      </w:r>
      <w:r w:rsidR="004161D8" w:rsidRPr="0015231B">
        <w:t>.</w:t>
      </w:r>
    </w:p>
    <w:p w:rsidR="006672C5" w:rsidRPr="0015231B" w:rsidRDefault="006672C5" w:rsidP="004161D8">
      <w:pPr>
        <w:jc w:val="both"/>
      </w:pPr>
    </w:p>
    <w:p w:rsidR="006672C5" w:rsidRPr="0015231B" w:rsidRDefault="006672C5" w:rsidP="006B1116">
      <w:pPr>
        <w:jc w:val="both"/>
      </w:pPr>
      <w:r w:rsidRPr="0015231B">
        <w:t xml:space="preserve">On </w:t>
      </w:r>
      <w:r w:rsidR="006B1116">
        <w:rPr>
          <w:rFonts w:hint="eastAsia"/>
        </w:rPr>
        <w:t>29</w:t>
      </w:r>
      <w:r w:rsidR="00647818" w:rsidRPr="0015231B">
        <w:t xml:space="preserve"> March 2019</w:t>
      </w:r>
      <w:r w:rsidRPr="0015231B">
        <w:t xml:space="preserve">, the Ministry of Commerce received an application for an expiry review from the domestic </w:t>
      </w:r>
      <w:r w:rsidRPr="0015231B">
        <w:rPr>
          <w:rFonts w:hint="eastAsia"/>
        </w:rPr>
        <w:t>industry</w:t>
      </w:r>
      <w:r w:rsidR="00647818" w:rsidRPr="0015231B">
        <w:t xml:space="preserve">, represented by </w:t>
      </w:r>
      <w:r w:rsidR="006B1116">
        <w:rPr>
          <w:rFonts w:hint="eastAsia"/>
        </w:rPr>
        <w:t>Ningbo Juhua Chemical Products Co Ltd and Binhua Group Co Ltd</w:t>
      </w:r>
      <w:r w:rsidRPr="0015231B">
        <w:t xml:space="preserve">. The application pretested that if the anti-dumping measures terminated, the dumping imports of </w:t>
      </w:r>
      <w:r w:rsidR="006B1116" w:rsidRPr="006B1116">
        <w:t xml:space="preserve">Perchlorethylene or Tetrachloroethylene (PCE) </w:t>
      </w:r>
      <w:r w:rsidR="006B1116" w:rsidRPr="0015231B">
        <w:t xml:space="preserve">originating from US and the EU </w:t>
      </w:r>
      <w:r w:rsidRPr="0015231B">
        <w:t>would continue, dumping injury to the domestic industry would continue and therefore requested the Ministry of Commerce to maintain</w:t>
      </w:r>
      <w:r w:rsidRPr="0015231B">
        <w:rPr>
          <w:lang w:val="en-US"/>
        </w:rPr>
        <w:t xml:space="preserve"> the anti-dumping measures to </w:t>
      </w:r>
      <w:r w:rsidR="006B1116" w:rsidRPr="006B1116">
        <w:t xml:space="preserve">Perchlorethylene or Tetrachloroethylene (PCE) </w:t>
      </w:r>
      <w:r w:rsidR="006B1116" w:rsidRPr="0015231B">
        <w:t>originating from US and the EU</w:t>
      </w:r>
      <w:r w:rsidRPr="0015231B">
        <w:rPr>
          <w:lang w:val="en-US"/>
        </w:rPr>
        <w:t>.</w:t>
      </w:r>
    </w:p>
    <w:p w:rsidR="006672C5" w:rsidRPr="0015231B" w:rsidRDefault="006672C5" w:rsidP="004161D8">
      <w:pPr>
        <w:jc w:val="both"/>
      </w:pPr>
    </w:p>
    <w:p w:rsidR="00F32C37" w:rsidRPr="0015231B" w:rsidRDefault="00F32C37" w:rsidP="004161D8">
      <w:pPr>
        <w:jc w:val="both"/>
      </w:pPr>
      <w:r w:rsidRPr="0015231B">
        <w:t xml:space="preserve">In accordance with the provisions of the </w:t>
      </w:r>
      <w:r w:rsidRPr="0015231B">
        <w:rPr>
          <w:u w:val="single"/>
        </w:rPr>
        <w:t>Anti-Dumping Regulation of the People's Republic of China</w:t>
      </w:r>
      <w:r w:rsidRPr="0015231B">
        <w:t xml:space="preserve">, the Ministry of Commerce made an investigation to the applicant qualification, the investigated products, domestic same kind of products, imports during the anti-dumping measures are taken, possibilities of continuation of dumping and possibilities of continuation of injury and related evidence. The </w:t>
      </w:r>
      <w:r w:rsidRPr="006B1116">
        <w:rPr>
          <w:i/>
        </w:rPr>
        <w:t>prima facie</w:t>
      </w:r>
      <w:r w:rsidRPr="0015231B">
        <w:t xml:space="preserve"> evidences provided by the petitioner are in line with the Article 11, 13 and 17 of the Anti-Dumping Regulation of the People's Republic of China. </w:t>
      </w:r>
    </w:p>
    <w:p w:rsidR="00F32C37" w:rsidRPr="0015231B" w:rsidRDefault="00F32C37" w:rsidP="004161D8">
      <w:pPr>
        <w:jc w:val="both"/>
      </w:pPr>
    </w:p>
    <w:p w:rsidR="00F32C37" w:rsidRPr="0015231B" w:rsidRDefault="00F32C37" w:rsidP="004161D8">
      <w:pPr>
        <w:jc w:val="both"/>
        <w:rPr>
          <w:color w:val="000000"/>
        </w:rPr>
      </w:pPr>
      <w:r w:rsidRPr="0015231B">
        <w:t xml:space="preserve">In compliance with </w:t>
      </w:r>
      <w:r w:rsidRPr="0015231B">
        <w:rPr>
          <w:color w:val="000000"/>
        </w:rPr>
        <w:t>provisions of Article 48 of</w:t>
      </w:r>
      <w:r w:rsidRPr="0015231B">
        <w:rPr>
          <w:color w:val="000000"/>
          <w:u w:val="single"/>
        </w:rPr>
        <w:t xml:space="preserve"> Anti-Dumping Regulation of the People's Republic of China</w:t>
      </w:r>
      <w:r w:rsidRPr="0015231B">
        <w:rPr>
          <w:color w:val="000000"/>
        </w:rPr>
        <w:t xml:space="preserve">, The Ministry of Commerce decided to carry out an investigation on expiry review of anti-dumping measures of imports of </w:t>
      </w:r>
      <w:r w:rsidR="006B1116" w:rsidRPr="006B1116">
        <w:t xml:space="preserve">Perchlorethylene or Tetrachloroethylene (PCE) </w:t>
      </w:r>
      <w:r w:rsidR="006B1116" w:rsidRPr="0015231B">
        <w:t>originating from US and the EU</w:t>
      </w:r>
      <w:r w:rsidR="00E2321E" w:rsidRPr="0015231B">
        <w:t xml:space="preserve"> </w:t>
      </w:r>
      <w:r w:rsidRPr="0015231B">
        <w:rPr>
          <w:rStyle w:val="st"/>
          <w:color w:val="000000"/>
        </w:rPr>
        <w:t xml:space="preserve">from </w:t>
      </w:r>
      <w:r w:rsidR="006B1116">
        <w:rPr>
          <w:rStyle w:val="st"/>
          <w:rFonts w:hint="eastAsia"/>
          <w:color w:val="000000"/>
        </w:rPr>
        <w:t>31</w:t>
      </w:r>
      <w:r w:rsidR="00647818" w:rsidRPr="0015231B">
        <w:rPr>
          <w:rStyle w:val="st"/>
          <w:color w:val="000000"/>
        </w:rPr>
        <w:t xml:space="preserve"> May 2019</w:t>
      </w:r>
      <w:r w:rsidRPr="0015231B">
        <w:rPr>
          <w:color w:val="000000"/>
        </w:rPr>
        <w:t>.</w:t>
      </w:r>
    </w:p>
    <w:p w:rsidR="00F32C37" w:rsidRPr="0015231B" w:rsidRDefault="00F32C37" w:rsidP="004161D8">
      <w:pPr>
        <w:jc w:val="both"/>
      </w:pPr>
    </w:p>
    <w:p w:rsidR="00F32C37" w:rsidRPr="0015231B" w:rsidRDefault="00F32C37" w:rsidP="004161D8">
      <w:pPr>
        <w:jc w:val="both"/>
      </w:pPr>
      <w:r w:rsidRPr="0015231B">
        <w:t>The relevant details are hereby made public as follows:</w:t>
      </w:r>
    </w:p>
    <w:p w:rsidR="00F32C37" w:rsidRPr="0015231B" w:rsidRDefault="00F32C37" w:rsidP="004161D8">
      <w:pPr>
        <w:jc w:val="both"/>
        <w:rPr>
          <w:rFonts w:ascii="Arial" w:hAnsi="Arial" w:cs="Arial"/>
          <w:color w:val="333333"/>
          <w:sz w:val="18"/>
          <w:szCs w:val="18"/>
        </w:rPr>
      </w:pPr>
    </w:p>
    <w:p w:rsidR="00F32C37" w:rsidRPr="0015231B" w:rsidRDefault="00F32C37" w:rsidP="004161D8">
      <w:pPr>
        <w:jc w:val="both"/>
        <w:rPr>
          <w:rFonts w:ascii="Arial" w:hAnsi="Arial" w:cs="Arial"/>
          <w:color w:val="333333"/>
          <w:sz w:val="18"/>
          <w:szCs w:val="18"/>
        </w:rPr>
      </w:pPr>
    </w:p>
    <w:p w:rsidR="00F32C37" w:rsidRPr="0015231B" w:rsidRDefault="00F32C37" w:rsidP="004161D8">
      <w:pPr>
        <w:jc w:val="both"/>
      </w:pPr>
      <w:r w:rsidRPr="0015231B">
        <w:t>1</w:t>
      </w:r>
      <w:r w:rsidRPr="0015231B">
        <w:tab/>
        <w:t>Continue of the anti-dumping measures</w:t>
      </w:r>
    </w:p>
    <w:p w:rsidR="00F32C37" w:rsidRPr="0015231B" w:rsidRDefault="00F32C37" w:rsidP="004161D8">
      <w:pPr>
        <w:jc w:val="both"/>
      </w:pPr>
    </w:p>
    <w:p w:rsidR="00F32C37" w:rsidRPr="0015231B" w:rsidRDefault="00F32C37" w:rsidP="004161D8">
      <w:pPr>
        <w:jc w:val="both"/>
      </w:pPr>
      <w:r w:rsidRPr="0015231B">
        <w:t xml:space="preserve">According to the suggestions of Ministry of Commerce, the Duty Tariff </w:t>
      </w:r>
      <w:r w:rsidR="006B1116">
        <w:t xml:space="preserve">Committee of the State Council </w:t>
      </w:r>
      <w:r w:rsidRPr="0015231B">
        <w:t>decided to continually impose anti-dumping duties d</w:t>
      </w:r>
      <w:r w:rsidR="00063CAC" w:rsidRPr="0015231B">
        <w:t xml:space="preserve">uring the expiry review period </w:t>
      </w:r>
      <w:r w:rsidRPr="0015231B">
        <w:t xml:space="preserve">to imports of </w:t>
      </w:r>
      <w:r w:rsidR="006B1116" w:rsidRPr="006B1116">
        <w:t xml:space="preserve">Perchlorethylene or Tetrachloroethylene (PCE) </w:t>
      </w:r>
      <w:r w:rsidR="006B1116" w:rsidRPr="0015231B">
        <w:t>originating from US and the EU</w:t>
      </w:r>
      <w:r w:rsidR="00A43FEE" w:rsidRPr="0015231B">
        <w:t>, according to the scope and tariff rate announced in Mo</w:t>
      </w:r>
      <w:r w:rsidR="00647818" w:rsidRPr="0015231B">
        <w:t>fcom's Notice of No.3</w:t>
      </w:r>
      <w:r w:rsidR="006B1116">
        <w:rPr>
          <w:rFonts w:hint="eastAsia"/>
        </w:rPr>
        <w:t>2</w:t>
      </w:r>
      <w:r w:rsidR="00647818" w:rsidRPr="0015231B">
        <w:t xml:space="preserve"> of 2014</w:t>
      </w:r>
      <w:r w:rsidRPr="0015231B">
        <w:t xml:space="preserve">. </w:t>
      </w:r>
    </w:p>
    <w:p w:rsidR="00F32C37" w:rsidRPr="0015231B" w:rsidRDefault="00F32C37" w:rsidP="004161D8">
      <w:pPr>
        <w:jc w:val="both"/>
      </w:pPr>
    </w:p>
    <w:p w:rsidR="00F32C37" w:rsidRPr="0015231B" w:rsidRDefault="00F32C37" w:rsidP="004161D8">
      <w:pPr>
        <w:jc w:val="both"/>
      </w:pPr>
      <w:r w:rsidRPr="0015231B">
        <w:t xml:space="preserve">2. </w:t>
      </w:r>
      <w:r w:rsidRPr="0015231B">
        <w:tab/>
        <w:t>Period of review investigation</w:t>
      </w:r>
    </w:p>
    <w:p w:rsidR="00F32C37" w:rsidRPr="0015231B" w:rsidRDefault="00F32C37" w:rsidP="004161D8">
      <w:pPr>
        <w:jc w:val="both"/>
      </w:pPr>
    </w:p>
    <w:p w:rsidR="00F32C37" w:rsidRPr="0015231B" w:rsidRDefault="00F32C37" w:rsidP="004161D8">
      <w:pPr>
        <w:jc w:val="both"/>
      </w:pPr>
      <w:r w:rsidRPr="0015231B">
        <w:t xml:space="preserve">The dumping investigation period of the review is set as </w:t>
      </w:r>
      <w:r w:rsidR="00647818" w:rsidRPr="0015231B">
        <w:t>1 January 2018 to 31 December 2018</w:t>
      </w:r>
      <w:r w:rsidRPr="0015231B">
        <w:t xml:space="preserve">. The industry injury investigation period is set as </w:t>
      </w:r>
      <w:r w:rsidR="00647818" w:rsidRPr="0015231B">
        <w:t>1 January 201</w:t>
      </w:r>
      <w:r w:rsidR="006B1116">
        <w:rPr>
          <w:rFonts w:hint="eastAsia"/>
        </w:rPr>
        <w:t>5</w:t>
      </w:r>
      <w:r w:rsidR="00647818" w:rsidRPr="0015231B">
        <w:t xml:space="preserve"> to 31 December 2018</w:t>
      </w:r>
      <w:r w:rsidRPr="0015231B">
        <w:t>.</w:t>
      </w:r>
    </w:p>
    <w:p w:rsidR="00F32C37" w:rsidRPr="0015231B" w:rsidRDefault="00F32C37" w:rsidP="004161D8">
      <w:pPr>
        <w:jc w:val="both"/>
      </w:pPr>
    </w:p>
    <w:p w:rsidR="00F32C37" w:rsidRPr="0015231B" w:rsidRDefault="00F32C37" w:rsidP="004161D8">
      <w:pPr>
        <w:jc w:val="both"/>
      </w:pPr>
      <w:r w:rsidRPr="0015231B">
        <w:t>3.</w:t>
      </w:r>
      <w:r w:rsidRPr="0015231B">
        <w:tab/>
        <w:t>Scope of investigation</w:t>
      </w:r>
    </w:p>
    <w:p w:rsidR="00F32C37" w:rsidRPr="0015231B" w:rsidRDefault="00F32C37" w:rsidP="004161D8">
      <w:pPr>
        <w:jc w:val="both"/>
      </w:pPr>
    </w:p>
    <w:p w:rsidR="00F32C37" w:rsidRPr="0015231B" w:rsidRDefault="00F32C37" w:rsidP="004161D8">
      <w:pPr>
        <w:jc w:val="both"/>
      </w:pPr>
      <w:r w:rsidRPr="0015231B">
        <w:lastRenderedPageBreak/>
        <w:t xml:space="preserve">Product investigated is the same as in </w:t>
      </w:r>
      <w:r w:rsidR="00887557" w:rsidRPr="0015231B">
        <w:t>Notice No.</w:t>
      </w:r>
      <w:r w:rsidR="00647818" w:rsidRPr="0015231B">
        <w:t>3</w:t>
      </w:r>
      <w:r w:rsidR="006B1116">
        <w:rPr>
          <w:rFonts w:hint="eastAsia"/>
        </w:rPr>
        <w:t>2</w:t>
      </w:r>
      <w:r w:rsidR="00647818" w:rsidRPr="0015231B">
        <w:t xml:space="preserve"> of 2014</w:t>
      </w:r>
      <w:r w:rsidR="00063CAC" w:rsidRPr="0015231B">
        <w:t xml:space="preserve"> published by the Ministry of Commerce.</w:t>
      </w:r>
      <w:r w:rsidRPr="0015231B">
        <w:rPr>
          <w:rFonts w:eastAsia="TimesNewRoman"/>
        </w:rPr>
        <w:t xml:space="preserve"> </w:t>
      </w:r>
    </w:p>
    <w:p w:rsidR="00F32C37" w:rsidRPr="0015231B" w:rsidRDefault="00F32C37" w:rsidP="004161D8">
      <w:pPr>
        <w:jc w:val="both"/>
      </w:pPr>
    </w:p>
    <w:p w:rsidR="00F32C37" w:rsidRPr="0015231B" w:rsidRDefault="00F32C37" w:rsidP="004161D8">
      <w:pPr>
        <w:jc w:val="both"/>
      </w:pPr>
      <w:r w:rsidRPr="0015231B">
        <w:t>4.</w:t>
      </w:r>
      <w:r w:rsidRPr="0015231B">
        <w:tab/>
        <w:t>Content of review</w:t>
      </w:r>
    </w:p>
    <w:p w:rsidR="00F32C37" w:rsidRPr="0015231B" w:rsidRDefault="00F32C37" w:rsidP="004161D8">
      <w:pPr>
        <w:jc w:val="both"/>
      </w:pPr>
    </w:p>
    <w:p w:rsidR="00F32C37" w:rsidRPr="0015231B" w:rsidRDefault="00F32C37" w:rsidP="004161D8">
      <w:pPr>
        <w:jc w:val="both"/>
      </w:pPr>
      <w:r w:rsidRPr="0015231B">
        <w:t xml:space="preserve">The content of the review is if terminate the anti-dumping measures to </w:t>
      </w:r>
      <w:r w:rsidR="006B1116" w:rsidRPr="006B1116">
        <w:t xml:space="preserve">Perchlorethylene or Tetrachloroethylene (PCE) </w:t>
      </w:r>
      <w:r w:rsidR="006B1116" w:rsidRPr="0015231B">
        <w:t>originating from US and the EU</w:t>
      </w:r>
      <w:r w:rsidRPr="0015231B">
        <w:t xml:space="preserve">, whether it leads </w:t>
      </w:r>
      <w:r w:rsidR="00647818" w:rsidRPr="0015231B">
        <w:t xml:space="preserve">to </w:t>
      </w:r>
      <w:r w:rsidRPr="0015231B">
        <w:t xml:space="preserve">continuation or recurrence of dumping and industry injury. </w:t>
      </w:r>
    </w:p>
    <w:p w:rsidR="00F32C37" w:rsidRPr="0015231B" w:rsidRDefault="00F32C37" w:rsidP="004161D8">
      <w:pPr>
        <w:jc w:val="both"/>
      </w:pPr>
    </w:p>
    <w:p w:rsidR="00F32C37" w:rsidRPr="0015231B" w:rsidRDefault="00F32C37" w:rsidP="004161D8">
      <w:pPr>
        <w:jc w:val="both"/>
      </w:pPr>
      <w:r w:rsidRPr="0015231B">
        <w:t>5</w:t>
      </w:r>
      <w:r w:rsidRPr="0015231B">
        <w:tab/>
        <w:t>Registration to intervene in the case</w:t>
      </w:r>
    </w:p>
    <w:p w:rsidR="00F32C37" w:rsidRPr="0015231B" w:rsidRDefault="00F32C37" w:rsidP="004161D8">
      <w:pPr>
        <w:jc w:val="both"/>
      </w:pPr>
    </w:p>
    <w:p w:rsidR="00F32C37" w:rsidRPr="0015231B" w:rsidRDefault="00F32C37" w:rsidP="004161D8">
      <w:pPr>
        <w:jc w:val="both"/>
      </w:pPr>
      <w:r w:rsidRPr="0015231B">
        <w:t xml:space="preserve">As concerns the dumping investigation, any interested party may, within 20 days of the publication of this Notice, apply to the Bureau of Trade Remedy and Investigation of MOFCOM to intervene in the case; </w:t>
      </w:r>
      <w:r w:rsidRPr="0015231B">
        <w:rPr>
          <w:rFonts w:eastAsia="TimesNewRoman"/>
        </w:rPr>
        <w:t>Interested parties should provide information according to the reference of registration form, such as quantity and value of the product, capacity during the injury investigation, output, inventory, construction and expansion plan. The reference registration form can be downloaded at relevant webpage (</w:t>
      </w:r>
      <w:r w:rsidRPr="0015231B">
        <w:rPr>
          <w:rFonts w:eastAsia="TimesNewRoman" w:hint="eastAsia"/>
        </w:rPr>
        <w:t>http://trb.mofcom.gov.cn</w:t>
      </w:r>
      <w:r w:rsidRPr="0015231B">
        <w:rPr>
          <w:rFonts w:eastAsia="TimesNewRoman"/>
        </w:rPr>
        <w:t>).</w:t>
      </w:r>
    </w:p>
    <w:p w:rsidR="00F32C37" w:rsidRPr="0015231B" w:rsidRDefault="00F32C37" w:rsidP="004161D8">
      <w:pPr>
        <w:jc w:val="both"/>
      </w:pPr>
    </w:p>
    <w:p w:rsidR="00F32C37" w:rsidRPr="0015231B" w:rsidRDefault="00F32C37" w:rsidP="004161D8">
      <w:pPr>
        <w:jc w:val="both"/>
        <w:rPr>
          <w:u w:val="single"/>
        </w:rPr>
      </w:pPr>
      <w:r w:rsidRPr="0015231B">
        <w:t xml:space="preserve">The interested parties in the Notice refer to the individuals and organisations defined in the Article 19 of the </w:t>
      </w:r>
      <w:r w:rsidRPr="0015231B">
        <w:rPr>
          <w:u w:val="single"/>
        </w:rPr>
        <w:t>Anti-Dumping Regulation of the People's Republic of China</w:t>
      </w:r>
    </w:p>
    <w:p w:rsidR="00F32C37" w:rsidRPr="0015231B" w:rsidRDefault="00F32C37" w:rsidP="004161D8">
      <w:pPr>
        <w:jc w:val="both"/>
      </w:pPr>
    </w:p>
    <w:p w:rsidR="00F32C37" w:rsidRPr="0015231B" w:rsidRDefault="00F32C37" w:rsidP="004161D8">
      <w:pPr>
        <w:autoSpaceDE w:val="0"/>
        <w:autoSpaceDN w:val="0"/>
        <w:adjustRightInd w:val="0"/>
        <w:jc w:val="both"/>
        <w:rPr>
          <w:rFonts w:eastAsia="TimesNewRoman,Bold"/>
          <w:bCs/>
        </w:rPr>
      </w:pPr>
      <w:r w:rsidRPr="0015231B">
        <w:t>6</w:t>
      </w:r>
      <w:r w:rsidRPr="0015231B">
        <w:tab/>
      </w:r>
      <w:r w:rsidRPr="0015231B">
        <w:rPr>
          <w:rFonts w:eastAsia="TimesNewRoman,Bold"/>
          <w:bCs/>
        </w:rPr>
        <w:t>Access to Public Information</w:t>
      </w:r>
    </w:p>
    <w:p w:rsidR="00F32C37" w:rsidRPr="0015231B" w:rsidRDefault="00F32C37" w:rsidP="004161D8">
      <w:pPr>
        <w:autoSpaceDE w:val="0"/>
        <w:autoSpaceDN w:val="0"/>
        <w:adjustRightInd w:val="0"/>
        <w:jc w:val="both"/>
        <w:rPr>
          <w:rFonts w:eastAsia="TimesNewRoman,Bold"/>
          <w:bCs/>
        </w:rPr>
      </w:pPr>
    </w:p>
    <w:p w:rsidR="00F32C37" w:rsidRPr="0015231B" w:rsidRDefault="00F32C37" w:rsidP="004161D8">
      <w:pPr>
        <w:autoSpaceDE w:val="0"/>
        <w:autoSpaceDN w:val="0"/>
        <w:adjustRightInd w:val="0"/>
        <w:jc w:val="both"/>
        <w:rPr>
          <w:rFonts w:eastAsia="TimesNewRoman"/>
        </w:rPr>
      </w:pPr>
      <w:r w:rsidRPr="0015231B">
        <w:rPr>
          <w:rFonts w:eastAsia="TimesNewRoman"/>
        </w:rPr>
        <w:t>The interested parties can download from relevant website or go to the Trade Remedy Public Information Office (phone number: 0086-10-65197878) to search, read and copy non-confidential documents of the case.</w:t>
      </w:r>
    </w:p>
    <w:p w:rsidR="00F32C37" w:rsidRPr="0015231B" w:rsidRDefault="00F32C37" w:rsidP="004161D8">
      <w:pPr>
        <w:autoSpaceDE w:val="0"/>
        <w:autoSpaceDN w:val="0"/>
        <w:adjustRightInd w:val="0"/>
        <w:jc w:val="both"/>
        <w:rPr>
          <w:rFonts w:eastAsia="TimesNewRoman"/>
        </w:rPr>
      </w:pPr>
    </w:p>
    <w:p w:rsidR="00F32C37" w:rsidRPr="0015231B" w:rsidRDefault="00F32C37" w:rsidP="004161D8">
      <w:pPr>
        <w:jc w:val="both"/>
      </w:pPr>
      <w:r w:rsidRPr="0015231B">
        <w:t>7</w:t>
      </w:r>
      <w:r w:rsidRPr="0015231B">
        <w:tab/>
        <w:t>Comments to the case initiation</w:t>
      </w:r>
    </w:p>
    <w:p w:rsidR="00F32C37" w:rsidRPr="0015231B" w:rsidRDefault="00F32C37" w:rsidP="004161D8">
      <w:pPr>
        <w:jc w:val="both"/>
      </w:pPr>
    </w:p>
    <w:p w:rsidR="00F32C37" w:rsidRPr="0015231B" w:rsidRDefault="00F32C37" w:rsidP="004161D8">
      <w:pPr>
        <w:autoSpaceDE w:val="0"/>
        <w:autoSpaceDN w:val="0"/>
        <w:adjustRightInd w:val="0"/>
        <w:jc w:val="both"/>
        <w:rPr>
          <w:rFonts w:eastAsia="TimesNewRoman"/>
        </w:rPr>
      </w:pPr>
      <w:r w:rsidRPr="0015231B">
        <w:rPr>
          <w:rFonts w:eastAsia="TimesNewRoman"/>
        </w:rPr>
        <w:t>The interested parties can submit their comments to MOFCOM in written form within 20 days since the notice is published if they have different opinions on the product scope of the investigation, the standing of the petitioners, the alleged countries and regions and other relevant issues.</w:t>
      </w:r>
    </w:p>
    <w:p w:rsidR="00F32C37" w:rsidRPr="0015231B" w:rsidRDefault="00F32C37" w:rsidP="004161D8">
      <w:pPr>
        <w:autoSpaceDE w:val="0"/>
        <w:autoSpaceDN w:val="0"/>
        <w:adjustRightInd w:val="0"/>
        <w:jc w:val="both"/>
        <w:rPr>
          <w:rFonts w:eastAsia="TimesNewRoman,Bold"/>
          <w:b/>
          <w:bCs/>
        </w:rPr>
      </w:pPr>
    </w:p>
    <w:p w:rsidR="00F32C37" w:rsidRPr="0015231B" w:rsidRDefault="00F32C37" w:rsidP="004161D8">
      <w:pPr>
        <w:autoSpaceDE w:val="0"/>
        <w:autoSpaceDN w:val="0"/>
        <w:adjustRightInd w:val="0"/>
        <w:jc w:val="both"/>
        <w:rPr>
          <w:rFonts w:eastAsia="TimesNewRoman,Bold"/>
          <w:bCs/>
        </w:rPr>
      </w:pPr>
      <w:r w:rsidRPr="0015231B">
        <w:rPr>
          <w:rFonts w:eastAsia="TimesNewRoman,Bold"/>
          <w:bCs/>
        </w:rPr>
        <w:t>8</w:t>
      </w:r>
      <w:r w:rsidRPr="0015231B">
        <w:rPr>
          <w:rFonts w:eastAsia="TimesNewRoman,Bold"/>
          <w:bCs/>
        </w:rPr>
        <w:tab/>
        <w:t>Investigation Approaches</w:t>
      </w:r>
    </w:p>
    <w:p w:rsidR="00F32C37" w:rsidRPr="0015231B" w:rsidRDefault="00F32C37" w:rsidP="004161D8">
      <w:pPr>
        <w:autoSpaceDE w:val="0"/>
        <w:autoSpaceDN w:val="0"/>
        <w:adjustRightInd w:val="0"/>
        <w:jc w:val="both"/>
        <w:rPr>
          <w:rFonts w:eastAsia="TimesNewRoman,Bold"/>
          <w:bCs/>
        </w:rPr>
      </w:pPr>
    </w:p>
    <w:p w:rsidR="00F32C37" w:rsidRPr="0015231B" w:rsidRDefault="00F32C37" w:rsidP="004161D8">
      <w:pPr>
        <w:autoSpaceDE w:val="0"/>
        <w:autoSpaceDN w:val="0"/>
        <w:adjustRightInd w:val="0"/>
        <w:jc w:val="both"/>
        <w:rPr>
          <w:rFonts w:eastAsia="TimesNewRoman"/>
        </w:rPr>
      </w:pPr>
      <w:r w:rsidRPr="0015231B">
        <w:rPr>
          <w:rFonts w:eastAsia="TimesNewRoman"/>
        </w:rPr>
        <w:t>The investigation authority can investigate by means of questionnaires,</w:t>
      </w:r>
      <w:r w:rsidRPr="0015231B">
        <w:rPr>
          <w:rFonts w:eastAsia="TimesNewRoman" w:hint="eastAsia"/>
        </w:rPr>
        <w:t xml:space="preserve"> </w:t>
      </w:r>
      <w:r w:rsidRPr="0015231B">
        <w:rPr>
          <w:rFonts w:eastAsia="TimesNewRoman"/>
        </w:rPr>
        <w:t>sampling,</w:t>
      </w:r>
      <w:r w:rsidRPr="0015231B">
        <w:rPr>
          <w:rFonts w:eastAsia="TimesNewRoman" w:hint="eastAsia"/>
        </w:rPr>
        <w:t xml:space="preserve"> </w:t>
      </w:r>
      <w:r w:rsidRPr="0015231B">
        <w:rPr>
          <w:rFonts w:eastAsia="TimesNewRoman"/>
        </w:rPr>
        <w:t>public hearing, on-the-spot verification etc.</w:t>
      </w:r>
    </w:p>
    <w:p w:rsidR="00F32C37" w:rsidRPr="0015231B" w:rsidRDefault="00F32C37" w:rsidP="004161D8">
      <w:pPr>
        <w:autoSpaceDE w:val="0"/>
        <w:autoSpaceDN w:val="0"/>
        <w:adjustRightInd w:val="0"/>
        <w:jc w:val="both"/>
        <w:rPr>
          <w:rFonts w:eastAsia="TimesNewRoman"/>
        </w:rPr>
      </w:pPr>
    </w:p>
    <w:p w:rsidR="00F32C37" w:rsidRPr="0015231B" w:rsidRDefault="00F32C37" w:rsidP="004161D8">
      <w:pPr>
        <w:autoSpaceDE w:val="0"/>
        <w:autoSpaceDN w:val="0"/>
        <w:adjustRightInd w:val="0"/>
        <w:jc w:val="both"/>
      </w:pPr>
      <w:r w:rsidRPr="0015231B">
        <w:rPr>
          <w:rFonts w:eastAsia="TimesNewRoman"/>
        </w:rPr>
        <w:t xml:space="preserve">In order to obtain the required information, </w:t>
      </w:r>
      <w:r w:rsidRPr="0015231B">
        <w:t>MOFCOM will normally issue investigation questionnaire to involved foreign exporters or producers, domestic producers or importers within 10 business days since the expiration of the above-mentioned responding time period. The responding interested parties can download the questionnaire from the relevant website.</w:t>
      </w:r>
    </w:p>
    <w:p w:rsidR="00F32C37" w:rsidRPr="0015231B" w:rsidRDefault="00F32C37" w:rsidP="004161D8">
      <w:pPr>
        <w:autoSpaceDE w:val="0"/>
        <w:autoSpaceDN w:val="0"/>
        <w:adjustRightInd w:val="0"/>
        <w:jc w:val="both"/>
      </w:pPr>
    </w:p>
    <w:p w:rsidR="00F32C37" w:rsidRPr="0015231B" w:rsidRDefault="00F32C37" w:rsidP="004161D8">
      <w:pPr>
        <w:autoSpaceDE w:val="0"/>
        <w:autoSpaceDN w:val="0"/>
        <w:adjustRightInd w:val="0"/>
        <w:jc w:val="both"/>
      </w:pPr>
      <w:r w:rsidRPr="0015231B">
        <w:t>Non-registered other interested parties can download the questionnaire from relevant website or ask the Trade Remedy and Investigation Bureau for the questionnaire, and submit information according to the questionnaire.</w:t>
      </w:r>
    </w:p>
    <w:p w:rsidR="00F32C37" w:rsidRPr="0015231B" w:rsidRDefault="00F32C37" w:rsidP="004161D8">
      <w:pPr>
        <w:autoSpaceDE w:val="0"/>
        <w:autoSpaceDN w:val="0"/>
        <w:adjustRightInd w:val="0"/>
        <w:jc w:val="both"/>
      </w:pPr>
    </w:p>
    <w:p w:rsidR="00F32C37" w:rsidRPr="0015231B" w:rsidRDefault="00F32C37" w:rsidP="004161D8">
      <w:pPr>
        <w:autoSpaceDE w:val="0"/>
        <w:autoSpaceDN w:val="0"/>
        <w:adjustRightInd w:val="0"/>
        <w:jc w:val="both"/>
      </w:pPr>
      <w:r w:rsidRPr="0015231B">
        <w:lastRenderedPageBreak/>
        <w:t>Companies shall provide complete and accurate questionnaire responses to MOFCOM in specified time limit. The response shall include all information required by the questionnaire.</w:t>
      </w:r>
    </w:p>
    <w:p w:rsidR="00F32C37" w:rsidRPr="0015231B" w:rsidRDefault="00F32C37" w:rsidP="004161D8">
      <w:pPr>
        <w:autoSpaceDE w:val="0"/>
        <w:autoSpaceDN w:val="0"/>
        <w:adjustRightInd w:val="0"/>
        <w:jc w:val="both"/>
        <w:rPr>
          <w:rFonts w:eastAsia="TimesNewRoman"/>
        </w:rPr>
      </w:pPr>
    </w:p>
    <w:p w:rsidR="00F32C37" w:rsidRPr="0015231B" w:rsidRDefault="00F32C37" w:rsidP="004161D8">
      <w:pPr>
        <w:autoSpaceDE w:val="0"/>
        <w:autoSpaceDN w:val="0"/>
        <w:adjustRightInd w:val="0"/>
        <w:jc w:val="both"/>
        <w:rPr>
          <w:rFonts w:eastAsia="TimesNewRoman,Bold"/>
          <w:bCs/>
        </w:rPr>
      </w:pPr>
      <w:r w:rsidRPr="0015231B">
        <w:rPr>
          <w:rFonts w:eastAsia="TimesNewRoman,Bold"/>
          <w:bCs/>
        </w:rPr>
        <w:t>9</w:t>
      </w:r>
      <w:r w:rsidRPr="0015231B">
        <w:rPr>
          <w:rFonts w:eastAsia="TimesNewRoman,Bold"/>
          <w:bCs/>
        </w:rPr>
        <w:tab/>
        <w:t>Submission and processing of Confidential Information</w:t>
      </w:r>
    </w:p>
    <w:p w:rsidR="00F32C37" w:rsidRPr="0015231B" w:rsidRDefault="00F32C37" w:rsidP="004161D8">
      <w:pPr>
        <w:spacing w:beforeLines="50" w:afterLines="50"/>
        <w:jc w:val="both"/>
      </w:pPr>
      <w:r w:rsidRPr="0015231B">
        <w:t xml:space="preserve">For confidential information, interested parties can submit request and reason to MOFCOM for confidential processing of the information. If MOFCOM agrees the request, the interested party should submit the non-confidential outline summary of the confidential information. The outline should include sufficient meaningful information of its rationality. If the interested party cannot provide the outline, it should clarify the reasons. If the interested party does not indicate confidential requests when submit information, MOFCOM will conduct the information as non-confidential. </w:t>
      </w:r>
    </w:p>
    <w:p w:rsidR="00F32C37" w:rsidRPr="0015231B" w:rsidRDefault="00F32C37" w:rsidP="004161D8">
      <w:pPr>
        <w:autoSpaceDE w:val="0"/>
        <w:autoSpaceDN w:val="0"/>
        <w:adjustRightInd w:val="0"/>
        <w:jc w:val="both"/>
        <w:rPr>
          <w:rFonts w:eastAsia="TimesNewRoman,Bold"/>
          <w:bCs/>
        </w:rPr>
      </w:pPr>
      <w:r w:rsidRPr="0015231B">
        <w:rPr>
          <w:rFonts w:eastAsia="TimesNewRoman,Bold"/>
          <w:bCs/>
        </w:rPr>
        <w:t>10</w:t>
      </w:r>
      <w:r w:rsidRPr="0015231B">
        <w:rPr>
          <w:rFonts w:eastAsia="TimesNewRoman,Bold"/>
          <w:bCs/>
        </w:rPr>
        <w:tab/>
        <w:t xml:space="preserve"> Result of Non-cooperation</w:t>
      </w:r>
    </w:p>
    <w:p w:rsidR="00F32C37" w:rsidRPr="0015231B" w:rsidRDefault="00F32C37" w:rsidP="004161D8">
      <w:pPr>
        <w:spacing w:beforeLines="50" w:afterLines="50"/>
        <w:jc w:val="both"/>
        <w:rPr>
          <w:rFonts w:eastAsia="TimesNewRoman,Bold"/>
          <w:b/>
          <w:bCs/>
        </w:rPr>
      </w:pPr>
      <w:r w:rsidRPr="0015231B">
        <w:t xml:space="preserve">According to the Article 21 of the </w:t>
      </w:r>
      <w:r w:rsidRPr="0015231B">
        <w:rPr>
          <w:u w:val="single"/>
        </w:rPr>
        <w:t>Anti-Dumping Regulation of the People’s Republic of China</w:t>
      </w:r>
      <w:r w:rsidRPr="0015231B">
        <w:t>, the interested parties shall provide authentic information and relevant documentation to the Ministry of Commerce in the process of the investigation. In the event that any interested party does not provide authentic information and relevant documentation, or does not provide necessary information within a reasonable time limit, or significantly impedes the investigation in other ways, the Ministry of Commerce may make determinations on the basis of the facts already known and the best information available.</w:t>
      </w:r>
    </w:p>
    <w:p w:rsidR="00F32C37" w:rsidRPr="0015231B" w:rsidRDefault="00F32C37" w:rsidP="004161D8">
      <w:pPr>
        <w:jc w:val="both"/>
      </w:pPr>
    </w:p>
    <w:p w:rsidR="00F32C37" w:rsidRPr="0015231B" w:rsidRDefault="00F32C37" w:rsidP="004161D8">
      <w:pPr>
        <w:jc w:val="both"/>
      </w:pPr>
      <w:r w:rsidRPr="0015231B">
        <w:t>11</w:t>
      </w:r>
      <w:r w:rsidRPr="0015231B">
        <w:tab/>
        <w:t>Investigation period</w:t>
      </w:r>
    </w:p>
    <w:p w:rsidR="00F32C37" w:rsidRPr="0015231B" w:rsidRDefault="00F32C37" w:rsidP="004161D8">
      <w:pPr>
        <w:jc w:val="both"/>
      </w:pPr>
    </w:p>
    <w:p w:rsidR="00F32C37" w:rsidRPr="0015231B" w:rsidRDefault="00F32C37" w:rsidP="004161D8">
      <w:pPr>
        <w:autoSpaceDE w:val="0"/>
        <w:autoSpaceDN w:val="0"/>
        <w:adjustRightInd w:val="0"/>
        <w:jc w:val="both"/>
      </w:pPr>
      <w:r w:rsidRPr="0015231B">
        <w:t xml:space="preserve">The investigation starts from </w:t>
      </w:r>
      <w:r w:rsidR="006B1116">
        <w:rPr>
          <w:rFonts w:hint="eastAsia"/>
        </w:rPr>
        <w:t>3</w:t>
      </w:r>
      <w:r w:rsidR="006B1116">
        <w:t>1</w:t>
      </w:r>
      <w:r w:rsidR="0015231B" w:rsidRPr="0015231B">
        <w:t xml:space="preserve"> May 2019</w:t>
      </w:r>
      <w:r w:rsidRPr="0015231B">
        <w:t xml:space="preserve"> and shall normally end</w:t>
      </w:r>
      <w:r w:rsidRPr="0015231B">
        <w:rPr>
          <w:rFonts w:hint="eastAsia"/>
        </w:rPr>
        <w:t xml:space="preserve"> b</w:t>
      </w:r>
      <w:r w:rsidRPr="0015231B">
        <w:t xml:space="preserve">efore </w:t>
      </w:r>
      <w:r w:rsidR="003919D5">
        <w:rPr>
          <w:rFonts w:hint="eastAsia"/>
        </w:rPr>
        <w:t>30</w:t>
      </w:r>
      <w:r w:rsidR="0015231B" w:rsidRPr="0015231B">
        <w:t xml:space="preserve"> May 2020</w:t>
      </w:r>
      <w:r w:rsidRPr="0015231B">
        <w:t xml:space="preserve">. </w:t>
      </w:r>
    </w:p>
    <w:p w:rsidR="00F32C37" w:rsidRPr="0015231B" w:rsidRDefault="00F32C37" w:rsidP="004161D8">
      <w:pPr>
        <w:autoSpaceDE w:val="0"/>
        <w:autoSpaceDN w:val="0"/>
        <w:adjustRightInd w:val="0"/>
        <w:jc w:val="both"/>
      </w:pPr>
    </w:p>
    <w:p w:rsidR="00F32C37" w:rsidRPr="0015231B" w:rsidRDefault="00F32C37" w:rsidP="004161D8">
      <w:pPr>
        <w:autoSpaceDE w:val="0"/>
        <w:autoSpaceDN w:val="0"/>
        <w:adjustRightInd w:val="0"/>
        <w:jc w:val="both"/>
      </w:pPr>
      <w:r w:rsidRPr="0015231B">
        <w:t>12</w:t>
      </w:r>
      <w:r w:rsidRPr="0015231B">
        <w:tab/>
        <w:t>Contact of MOFCOM</w:t>
      </w:r>
    </w:p>
    <w:p w:rsidR="00F32C37" w:rsidRPr="0015231B" w:rsidRDefault="00F32C37" w:rsidP="004161D8">
      <w:pPr>
        <w:jc w:val="both"/>
      </w:pPr>
    </w:p>
    <w:p w:rsidR="00F32C37" w:rsidRPr="0015231B" w:rsidRDefault="00F32C37" w:rsidP="004161D8">
      <w:pPr>
        <w:autoSpaceDE w:val="0"/>
        <w:autoSpaceDN w:val="0"/>
        <w:adjustRightInd w:val="0"/>
        <w:jc w:val="both"/>
      </w:pPr>
      <w:r w:rsidRPr="0015231B">
        <w:t>2 Dong Chang’An Jie, Beijing 100731</w:t>
      </w:r>
      <w:r w:rsidR="008F7760" w:rsidRPr="0015231B">
        <w:rPr>
          <w:rFonts w:hint="eastAsia"/>
        </w:rPr>
        <w:t xml:space="preserve">Division </w:t>
      </w:r>
      <w:r w:rsidR="0070069C" w:rsidRPr="0015231B">
        <w:t>IV</w:t>
      </w:r>
      <w:r w:rsidR="008F7760" w:rsidRPr="0015231B">
        <w:rPr>
          <w:rFonts w:hint="eastAsia"/>
        </w:rPr>
        <w:t xml:space="preserve"> </w:t>
      </w:r>
      <w:r w:rsidRPr="0015231B">
        <w:t>Trade Remedy and Investigation Bureau, MOFCOM</w:t>
      </w:r>
    </w:p>
    <w:p w:rsidR="00F32C37" w:rsidRPr="0015231B" w:rsidRDefault="00F32C37" w:rsidP="00A43FEE">
      <w:pPr>
        <w:autoSpaceDE w:val="0"/>
        <w:autoSpaceDN w:val="0"/>
        <w:adjustRightInd w:val="0"/>
      </w:pPr>
      <w:r w:rsidRPr="0015231B">
        <w:t xml:space="preserve">Tel. +86 10 </w:t>
      </w:r>
      <w:r w:rsidR="0015231B" w:rsidRPr="0015231B">
        <w:t>6519</w:t>
      </w:r>
      <w:r w:rsidR="003919D5">
        <w:rPr>
          <w:rFonts w:hint="eastAsia"/>
        </w:rPr>
        <w:t>7589</w:t>
      </w:r>
      <w:r w:rsidR="0015231B" w:rsidRPr="0015231B">
        <w:t>, 65198</w:t>
      </w:r>
      <w:r w:rsidR="003919D5">
        <w:rPr>
          <w:rFonts w:hint="eastAsia"/>
        </w:rPr>
        <w:t>409</w:t>
      </w:r>
      <w:r w:rsidR="00A43FEE" w:rsidRPr="0015231B">
        <w:br/>
      </w:r>
      <w:r w:rsidRPr="0015231B">
        <w:t>Fax +86 10 65198172</w:t>
      </w:r>
    </w:p>
    <w:p w:rsidR="00A43FEE" w:rsidRPr="0015231B" w:rsidRDefault="00A43FEE" w:rsidP="00A43FEE">
      <w:pPr>
        <w:autoSpaceDE w:val="0"/>
        <w:autoSpaceDN w:val="0"/>
        <w:adjustRightInd w:val="0"/>
      </w:pPr>
    </w:p>
    <w:p w:rsidR="00F32C37" w:rsidRPr="0015231B" w:rsidRDefault="008F7760" w:rsidP="00A43FEE">
      <w:pPr>
        <w:autoSpaceDE w:val="0"/>
        <w:autoSpaceDN w:val="0"/>
        <w:adjustRightInd w:val="0"/>
        <w:rPr>
          <w:rFonts w:hint="eastAsia"/>
        </w:rPr>
      </w:pPr>
      <w:r w:rsidRPr="0015231B">
        <w:rPr>
          <w:rFonts w:hint="eastAsia"/>
        </w:rPr>
        <w:t>Ministry of Commerce</w:t>
      </w:r>
    </w:p>
    <w:p w:rsidR="008F7760" w:rsidRDefault="003919D5" w:rsidP="00A43FEE">
      <w:pPr>
        <w:autoSpaceDE w:val="0"/>
        <w:autoSpaceDN w:val="0"/>
        <w:adjustRightInd w:val="0"/>
        <w:rPr>
          <w:rFonts w:hint="eastAsia"/>
        </w:rPr>
      </w:pPr>
      <w:r>
        <w:rPr>
          <w:rFonts w:hint="eastAsia"/>
        </w:rPr>
        <w:t>30</w:t>
      </w:r>
      <w:r w:rsidR="0015231B" w:rsidRPr="0015231B">
        <w:t xml:space="preserve"> May</w:t>
      </w:r>
      <w:r w:rsidR="00B3261A" w:rsidRPr="0015231B">
        <w:t xml:space="preserve"> 201</w:t>
      </w:r>
      <w:r w:rsidR="0015231B" w:rsidRPr="0015231B">
        <w:t>9</w:t>
      </w:r>
    </w:p>
    <w:p w:rsidR="00893533" w:rsidRDefault="00893533" w:rsidP="004161D8">
      <w:pPr>
        <w:autoSpaceDE w:val="0"/>
        <w:autoSpaceDN w:val="0"/>
        <w:adjustRightInd w:val="0"/>
        <w:jc w:val="both"/>
        <w:rPr>
          <w:rFonts w:hint="eastAsia"/>
        </w:rPr>
      </w:pPr>
    </w:p>
    <w:p w:rsidR="00893533" w:rsidRDefault="00893533" w:rsidP="004161D8">
      <w:pPr>
        <w:autoSpaceDE w:val="0"/>
        <w:autoSpaceDN w:val="0"/>
        <w:adjustRightInd w:val="0"/>
        <w:jc w:val="both"/>
      </w:pPr>
    </w:p>
    <w:sectPr w:rsidR="0089353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0C1" w:rsidRDefault="00CC70C1">
      <w:r>
        <w:separator/>
      </w:r>
    </w:p>
  </w:endnote>
  <w:endnote w:type="continuationSeparator" w:id="0">
    <w:p w:rsidR="00CC70C1" w:rsidRDefault="00CC7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
    <w:altName w:val="宋体"/>
    <w:panose1 w:val="00000000000000000000"/>
    <w:charset w:val="86"/>
    <w:family w:val="auto"/>
    <w:notTrueType/>
    <w:pitch w:val="default"/>
    <w:sig w:usb0="00000001" w:usb1="080E0000" w:usb2="00000010" w:usb3="00000000" w:csb0="00040000" w:csb1="00000000"/>
  </w:font>
  <w:font w:name="TimesNewRoman,Bold">
    <w:altName w:val="SimSun"/>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D5" w:rsidRPr="00F01729" w:rsidRDefault="00446FD5" w:rsidP="009844F3">
    <w:pPr>
      <w:autoSpaceDE w:val="0"/>
      <w:autoSpaceDN w:val="0"/>
      <w:adjustRightInd w:val="0"/>
      <w:rPr>
        <w:rFonts w:ascii="Arial" w:hAnsi="Arial" w:cs="Arial"/>
        <w:bCs/>
        <w:sz w:val="18"/>
        <w:szCs w:val="18"/>
      </w:rPr>
    </w:pPr>
    <w:r w:rsidRPr="00F01729">
      <w:rPr>
        <w:rFonts w:ascii="Arial" w:hAnsi="Arial" w:cs="Arial"/>
        <w:bCs/>
        <w:sz w:val="18"/>
        <w:szCs w:val="18"/>
      </w:rPr>
      <w:t>Disclaimer: This translation by the EU Delegation is provided as a working tool, and is provided "as is." No warranty of any kind, either expressed or implied, is made as to the accuracy, correctness, or reliability of any translations. Only the original official version should prevail as a source of reference.</w:t>
    </w:r>
  </w:p>
  <w:p w:rsidR="00446FD5" w:rsidRPr="009844F3" w:rsidRDefault="00446FD5" w:rsidP="009844F3">
    <w:pPr>
      <w:pStyle w:val="Pidipagina"/>
      <w:rPr>
        <w:sz w:val="18"/>
        <w:szCs w:val="18"/>
      </w:rPr>
    </w:pPr>
    <w:r w:rsidRPr="00F01729">
      <w:rPr>
        <w:rFonts w:ascii="SimSun" w:cs="SimSun" w:hint="eastAsia"/>
        <w:sz w:val="18"/>
        <w:szCs w:val="18"/>
        <w:lang w:val="zh-CN"/>
      </w:rPr>
      <w:t>免责声明：译文仅供工作参考，其内容仅代表原作者个人观点。</w:t>
    </w:r>
    <w:r w:rsidRPr="00F01729">
      <w:rPr>
        <w:rFonts w:ascii="SimSun" w:cs="SimSun" w:hint="eastAsia"/>
        <w:sz w:val="18"/>
        <w:szCs w:val="18"/>
        <w:lang w:val="fr-FR"/>
      </w:rPr>
      <w:t>欧盟驻华代表团</w:t>
    </w:r>
    <w:r w:rsidRPr="00F01729">
      <w:rPr>
        <w:rFonts w:ascii="SimSun" w:cs="SimSun" w:hint="eastAsia"/>
        <w:sz w:val="18"/>
        <w:szCs w:val="18"/>
        <w:lang w:val="zh-CN"/>
      </w:rPr>
      <w:t>对于译文内容的准确性、正确性、可靠性不负任何责任，具体内容请以官方原文为准。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0C1" w:rsidRDefault="00CC70C1">
      <w:r>
        <w:separator/>
      </w:r>
    </w:p>
  </w:footnote>
  <w:footnote w:type="continuationSeparator" w:id="0">
    <w:p w:rsidR="00CC70C1" w:rsidRDefault="00CC7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D3E7D"/>
    <w:multiLevelType w:val="hybridMultilevel"/>
    <w:tmpl w:val="394ED1E6"/>
    <w:lvl w:ilvl="0" w:tplc="08090015">
      <w:start w:val="1"/>
      <w:numFmt w:val="upperLetter"/>
      <w:lvlText w:val="%1."/>
      <w:lvlJc w:val="left"/>
      <w:pPr>
        <w:tabs>
          <w:tab w:val="num" w:pos="720"/>
        </w:tabs>
        <w:ind w:left="720" w:hanging="360"/>
      </w:pPr>
    </w:lvl>
    <w:lvl w:ilvl="1" w:tplc="36189A8C">
      <w:start w:val="1"/>
      <w:numFmt w:val="lowerRoman"/>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useFELayout/>
  </w:compat>
  <w:docVars>
    <w:docVar w:name="LW_DocType" w:val="NORMAL"/>
  </w:docVars>
  <w:rsids>
    <w:rsidRoot w:val="0080277C"/>
    <w:rsid w:val="00005825"/>
    <w:rsid w:val="00014F53"/>
    <w:rsid w:val="00017D83"/>
    <w:rsid w:val="00020833"/>
    <w:rsid w:val="000216DB"/>
    <w:rsid w:val="00023423"/>
    <w:rsid w:val="00023A26"/>
    <w:rsid w:val="00031068"/>
    <w:rsid w:val="0003613E"/>
    <w:rsid w:val="00036378"/>
    <w:rsid w:val="0004127E"/>
    <w:rsid w:val="00042830"/>
    <w:rsid w:val="00045E0C"/>
    <w:rsid w:val="0004675F"/>
    <w:rsid w:val="00051327"/>
    <w:rsid w:val="0005314D"/>
    <w:rsid w:val="0005483F"/>
    <w:rsid w:val="0005707B"/>
    <w:rsid w:val="00060F7E"/>
    <w:rsid w:val="00063CAC"/>
    <w:rsid w:val="00066325"/>
    <w:rsid w:val="000709E3"/>
    <w:rsid w:val="00072105"/>
    <w:rsid w:val="00080064"/>
    <w:rsid w:val="00080C07"/>
    <w:rsid w:val="00083FE8"/>
    <w:rsid w:val="00085664"/>
    <w:rsid w:val="000867F1"/>
    <w:rsid w:val="000911D2"/>
    <w:rsid w:val="00091C61"/>
    <w:rsid w:val="00094417"/>
    <w:rsid w:val="00096496"/>
    <w:rsid w:val="00096BF8"/>
    <w:rsid w:val="000A0FA0"/>
    <w:rsid w:val="000A5CCD"/>
    <w:rsid w:val="000A5DE8"/>
    <w:rsid w:val="000A7246"/>
    <w:rsid w:val="000A7C0F"/>
    <w:rsid w:val="000B3AF0"/>
    <w:rsid w:val="000B421E"/>
    <w:rsid w:val="000B748B"/>
    <w:rsid w:val="000C3648"/>
    <w:rsid w:val="000D684F"/>
    <w:rsid w:val="000E1883"/>
    <w:rsid w:val="000E2EEF"/>
    <w:rsid w:val="000F20E4"/>
    <w:rsid w:val="000F220E"/>
    <w:rsid w:val="000F36A2"/>
    <w:rsid w:val="000F3803"/>
    <w:rsid w:val="000F73B8"/>
    <w:rsid w:val="0010088E"/>
    <w:rsid w:val="001025CF"/>
    <w:rsid w:val="00102D22"/>
    <w:rsid w:val="00104285"/>
    <w:rsid w:val="00104851"/>
    <w:rsid w:val="0010553C"/>
    <w:rsid w:val="0010646E"/>
    <w:rsid w:val="00110951"/>
    <w:rsid w:val="001131F9"/>
    <w:rsid w:val="001134BD"/>
    <w:rsid w:val="00114883"/>
    <w:rsid w:val="0012092D"/>
    <w:rsid w:val="001213D3"/>
    <w:rsid w:val="00123BD8"/>
    <w:rsid w:val="00123F6C"/>
    <w:rsid w:val="001262AC"/>
    <w:rsid w:val="00127B2D"/>
    <w:rsid w:val="00132064"/>
    <w:rsid w:val="001327D3"/>
    <w:rsid w:val="001349EB"/>
    <w:rsid w:val="001356B2"/>
    <w:rsid w:val="00140DE0"/>
    <w:rsid w:val="00142929"/>
    <w:rsid w:val="00145A74"/>
    <w:rsid w:val="00146D73"/>
    <w:rsid w:val="001509D3"/>
    <w:rsid w:val="00150C66"/>
    <w:rsid w:val="0015231B"/>
    <w:rsid w:val="00156BC9"/>
    <w:rsid w:val="001607D5"/>
    <w:rsid w:val="001735BD"/>
    <w:rsid w:val="001739EE"/>
    <w:rsid w:val="00175789"/>
    <w:rsid w:val="00177F69"/>
    <w:rsid w:val="00180C91"/>
    <w:rsid w:val="0018139E"/>
    <w:rsid w:val="001865CB"/>
    <w:rsid w:val="0019298C"/>
    <w:rsid w:val="00192F4F"/>
    <w:rsid w:val="001956C1"/>
    <w:rsid w:val="001A485C"/>
    <w:rsid w:val="001B40D7"/>
    <w:rsid w:val="001B5139"/>
    <w:rsid w:val="001B53C9"/>
    <w:rsid w:val="001B7359"/>
    <w:rsid w:val="001C0E18"/>
    <w:rsid w:val="001F6D7C"/>
    <w:rsid w:val="001F7068"/>
    <w:rsid w:val="001F7E2A"/>
    <w:rsid w:val="0020311B"/>
    <w:rsid w:val="00203C56"/>
    <w:rsid w:val="00204E8E"/>
    <w:rsid w:val="00210217"/>
    <w:rsid w:val="002108ED"/>
    <w:rsid w:val="00214957"/>
    <w:rsid w:val="00216CFD"/>
    <w:rsid w:val="00217DE5"/>
    <w:rsid w:val="00223F01"/>
    <w:rsid w:val="00224914"/>
    <w:rsid w:val="00224BCC"/>
    <w:rsid w:val="00225E5E"/>
    <w:rsid w:val="00232779"/>
    <w:rsid w:val="00235D53"/>
    <w:rsid w:val="002419A8"/>
    <w:rsid w:val="00244696"/>
    <w:rsid w:val="00246571"/>
    <w:rsid w:val="0024658F"/>
    <w:rsid w:val="002477A0"/>
    <w:rsid w:val="002519EF"/>
    <w:rsid w:val="00252B1B"/>
    <w:rsid w:val="00255F9D"/>
    <w:rsid w:val="002573EE"/>
    <w:rsid w:val="002651FE"/>
    <w:rsid w:val="00265BF7"/>
    <w:rsid w:val="00271A2D"/>
    <w:rsid w:val="00272C74"/>
    <w:rsid w:val="00274C88"/>
    <w:rsid w:val="002755D8"/>
    <w:rsid w:val="00277009"/>
    <w:rsid w:val="00277354"/>
    <w:rsid w:val="002773BE"/>
    <w:rsid w:val="00280EBB"/>
    <w:rsid w:val="002908F6"/>
    <w:rsid w:val="00290F2B"/>
    <w:rsid w:val="002917EA"/>
    <w:rsid w:val="00293FDC"/>
    <w:rsid w:val="002940B4"/>
    <w:rsid w:val="00294A32"/>
    <w:rsid w:val="002963E5"/>
    <w:rsid w:val="002A45C1"/>
    <w:rsid w:val="002B0B82"/>
    <w:rsid w:val="002B1FC2"/>
    <w:rsid w:val="002B5471"/>
    <w:rsid w:val="002B78CB"/>
    <w:rsid w:val="002B7E88"/>
    <w:rsid w:val="002D1716"/>
    <w:rsid w:val="002D179B"/>
    <w:rsid w:val="002D4328"/>
    <w:rsid w:val="002D499D"/>
    <w:rsid w:val="002D5DF7"/>
    <w:rsid w:val="002E09A7"/>
    <w:rsid w:val="002E151E"/>
    <w:rsid w:val="002E4478"/>
    <w:rsid w:val="002F2DB3"/>
    <w:rsid w:val="002F6936"/>
    <w:rsid w:val="002F7455"/>
    <w:rsid w:val="00302ACA"/>
    <w:rsid w:val="003076E1"/>
    <w:rsid w:val="00312EEC"/>
    <w:rsid w:val="003139C7"/>
    <w:rsid w:val="00325634"/>
    <w:rsid w:val="00326CC8"/>
    <w:rsid w:val="003364F0"/>
    <w:rsid w:val="003374AF"/>
    <w:rsid w:val="003406FD"/>
    <w:rsid w:val="00347493"/>
    <w:rsid w:val="00354058"/>
    <w:rsid w:val="003579CC"/>
    <w:rsid w:val="00362C93"/>
    <w:rsid w:val="00370C0A"/>
    <w:rsid w:val="003747CD"/>
    <w:rsid w:val="00376614"/>
    <w:rsid w:val="0038402B"/>
    <w:rsid w:val="00384769"/>
    <w:rsid w:val="00386783"/>
    <w:rsid w:val="003919D5"/>
    <w:rsid w:val="00392F19"/>
    <w:rsid w:val="00394F65"/>
    <w:rsid w:val="00396C39"/>
    <w:rsid w:val="003A3B3A"/>
    <w:rsid w:val="003A4461"/>
    <w:rsid w:val="003A57B2"/>
    <w:rsid w:val="003B00A9"/>
    <w:rsid w:val="003B04B5"/>
    <w:rsid w:val="003B0EBB"/>
    <w:rsid w:val="003B1776"/>
    <w:rsid w:val="003B1B4C"/>
    <w:rsid w:val="003B1F75"/>
    <w:rsid w:val="003B3B78"/>
    <w:rsid w:val="003B4A4D"/>
    <w:rsid w:val="003C41C7"/>
    <w:rsid w:val="003C714C"/>
    <w:rsid w:val="003C7284"/>
    <w:rsid w:val="003D090F"/>
    <w:rsid w:val="003D0B65"/>
    <w:rsid w:val="003D340B"/>
    <w:rsid w:val="003D4DB6"/>
    <w:rsid w:val="003E11FA"/>
    <w:rsid w:val="003E392D"/>
    <w:rsid w:val="003E6A93"/>
    <w:rsid w:val="003E7FC0"/>
    <w:rsid w:val="003F0C8A"/>
    <w:rsid w:val="003F1AEA"/>
    <w:rsid w:val="003F1C3E"/>
    <w:rsid w:val="003F5BC8"/>
    <w:rsid w:val="003F6F7F"/>
    <w:rsid w:val="004002BE"/>
    <w:rsid w:val="004025EB"/>
    <w:rsid w:val="004062F7"/>
    <w:rsid w:val="004104B1"/>
    <w:rsid w:val="00410890"/>
    <w:rsid w:val="0041347D"/>
    <w:rsid w:val="004157B5"/>
    <w:rsid w:val="004161D8"/>
    <w:rsid w:val="00416C27"/>
    <w:rsid w:val="004218B7"/>
    <w:rsid w:val="00426A0E"/>
    <w:rsid w:val="00426DEC"/>
    <w:rsid w:val="00432356"/>
    <w:rsid w:val="00432479"/>
    <w:rsid w:val="004326A1"/>
    <w:rsid w:val="00434A7C"/>
    <w:rsid w:val="0043611E"/>
    <w:rsid w:val="004412A1"/>
    <w:rsid w:val="004422B7"/>
    <w:rsid w:val="004457F4"/>
    <w:rsid w:val="00446332"/>
    <w:rsid w:val="00446FD5"/>
    <w:rsid w:val="00450F02"/>
    <w:rsid w:val="0045221C"/>
    <w:rsid w:val="00453068"/>
    <w:rsid w:val="00453A98"/>
    <w:rsid w:val="0045596C"/>
    <w:rsid w:val="00455DE5"/>
    <w:rsid w:val="004621E0"/>
    <w:rsid w:val="0046580B"/>
    <w:rsid w:val="004670C8"/>
    <w:rsid w:val="00470E33"/>
    <w:rsid w:val="00471741"/>
    <w:rsid w:val="00471CBA"/>
    <w:rsid w:val="004753A6"/>
    <w:rsid w:val="00484C25"/>
    <w:rsid w:val="0048596F"/>
    <w:rsid w:val="00490A0E"/>
    <w:rsid w:val="0049118F"/>
    <w:rsid w:val="004940C3"/>
    <w:rsid w:val="004942AC"/>
    <w:rsid w:val="00494971"/>
    <w:rsid w:val="00496CC1"/>
    <w:rsid w:val="00497C2A"/>
    <w:rsid w:val="004A0248"/>
    <w:rsid w:val="004A5877"/>
    <w:rsid w:val="004A597F"/>
    <w:rsid w:val="004A5FB1"/>
    <w:rsid w:val="004A7850"/>
    <w:rsid w:val="004B2098"/>
    <w:rsid w:val="004B2823"/>
    <w:rsid w:val="004B344B"/>
    <w:rsid w:val="004B5267"/>
    <w:rsid w:val="004B75C2"/>
    <w:rsid w:val="004B78E6"/>
    <w:rsid w:val="004C1F91"/>
    <w:rsid w:val="004C306C"/>
    <w:rsid w:val="004C6EFD"/>
    <w:rsid w:val="004C7D81"/>
    <w:rsid w:val="004D32A2"/>
    <w:rsid w:val="004D4E2F"/>
    <w:rsid w:val="004D6AF3"/>
    <w:rsid w:val="004E0A57"/>
    <w:rsid w:val="004E1177"/>
    <w:rsid w:val="004E448E"/>
    <w:rsid w:val="004E480D"/>
    <w:rsid w:val="004E5CB1"/>
    <w:rsid w:val="004E6634"/>
    <w:rsid w:val="004E66EA"/>
    <w:rsid w:val="004E7184"/>
    <w:rsid w:val="004F00FC"/>
    <w:rsid w:val="004F4426"/>
    <w:rsid w:val="004F5839"/>
    <w:rsid w:val="004F58E9"/>
    <w:rsid w:val="004F6CE6"/>
    <w:rsid w:val="00500200"/>
    <w:rsid w:val="005005F4"/>
    <w:rsid w:val="0051086C"/>
    <w:rsid w:val="00511213"/>
    <w:rsid w:val="00513932"/>
    <w:rsid w:val="00514106"/>
    <w:rsid w:val="00514DB1"/>
    <w:rsid w:val="0051534B"/>
    <w:rsid w:val="00515F1B"/>
    <w:rsid w:val="00516EFD"/>
    <w:rsid w:val="005172FC"/>
    <w:rsid w:val="00517EC6"/>
    <w:rsid w:val="00523203"/>
    <w:rsid w:val="00524928"/>
    <w:rsid w:val="005254A6"/>
    <w:rsid w:val="00526151"/>
    <w:rsid w:val="005309EF"/>
    <w:rsid w:val="005313AA"/>
    <w:rsid w:val="00532540"/>
    <w:rsid w:val="005330BF"/>
    <w:rsid w:val="0053356B"/>
    <w:rsid w:val="00535B8A"/>
    <w:rsid w:val="005404BB"/>
    <w:rsid w:val="005406F7"/>
    <w:rsid w:val="00540C85"/>
    <w:rsid w:val="00543582"/>
    <w:rsid w:val="00551E78"/>
    <w:rsid w:val="0055645D"/>
    <w:rsid w:val="005573F6"/>
    <w:rsid w:val="00566E55"/>
    <w:rsid w:val="00567561"/>
    <w:rsid w:val="00570B7E"/>
    <w:rsid w:val="00576CBD"/>
    <w:rsid w:val="00585A54"/>
    <w:rsid w:val="00587F04"/>
    <w:rsid w:val="00590D02"/>
    <w:rsid w:val="00591886"/>
    <w:rsid w:val="00593F8E"/>
    <w:rsid w:val="0059439C"/>
    <w:rsid w:val="00594F0B"/>
    <w:rsid w:val="0059500E"/>
    <w:rsid w:val="005951A2"/>
    <w:rsid w:val="005A0960"/>
    <w:rsid w:val="005A1194"/>
    <w:rsid w:val="005A5F3C"/>
    <w:rsid w:val="005B1618"/>
    <w:rsid w:val="005C298B"/>
    <w:rsid w:val="005C3535"/>
    <w:rsid w:val="005C4BEC"/>
    <w:rsid w:val="005C5717"/>
    <w:rsid w:val="005D3F49"/>
    <w:rsid w:val="005D51E7"/>
    <w:rsid w:val="005E379A"/>
    <w:rsid w:val="005E7C45"/>
    <w:rsid w:val="005F0F26"/>
    <w:rsid w:val="005F1A77"/>
    <w:rsid w:val="005F4A36"/>
    <w:rsid w:val="005F4CDF"/>
    <w:rsid w:val="005F797E"/>
    <w:rsid w:val="00607D0A"/>
    <w:rsid w:val="00610AEA"/>
    <w:rsid w:val="00613340"/>
    <w:rsid w:val="00621D89"/>
    <w:rsid w:val="00623437"/>
    <w:rsid w:val="00626E42"/>
    <w:rsid w:val="00626FAD"/>
    <w:rsid w:val="006347E6"/>
    <w:rsid w:val="00635316"/>
    <w:rsid w:val="00636EE3"/>
    <w:rsid w:val="006414FB"/>
    <w:rsid w:val="0064207A"/>
    <w:rsid w:val="00647818"/>
    <w:rsid w:val="00651610"/>
    <w:rsid w:val="00653D65"/>
    <w:rsid w:val="006554CE"/>
    <w:rsid w:val="00657BA7"/>
    <w:rsid w:val="00663881"/>
    <w:rsid w:val="00665147"/>
    <w:rsid w:val="00665BC5"/>
    <w:rsid w:val="006672C5"/>
    <w:rsid w:val="00675B23"/>
    <w:rsid w:val="00675F70"/>
    <w:rsid w:val="00685C38"/>
    <w:rsid w:val="00687BE0"/>
    <w:rsid w:val="006946CF"/>
    <w:rsid w:val="006A2BD1"/>
    <w:rsid w:val="006A4F46"/>
    <w:rsid w:val="006A63F8"/>
    <w:rsid w:val="006A742A"/>
    <w:rsid w:val="006B0993"/>
    <w:rsid w:val="006B1116"/>
    <w:rsid w:val="006B35DB"/>
    <w:rsid w:val="006B3E8B"/>
    <w:rsid w:val="006B6BDB"/>
    <w:rsid w:val="006B71DC"/>
    <w:rsid w:val="006C58DB"/>
    <w:rsid w:val="006D556D"/>
    <w:rsid w:val="006E053A"/>
    <w:rsid w:val="006E26B2"/>
    <w:rsid w:val="006E3D49"/>
    <w:rsid w:val="006E7ECF"/>
    <w:rsid w:val="006F1B3F"/>
    <w:rsid w:val="006F40F6"/>
    <w:rsid w:val="006F6ADC"/>
    <w:rsid w:val="006F6EE0"/>
    <w:rsid w:val="00700287"/>
    <w:rsid w:val="0070069C"/>
    <w:rsid w:val="0070180D"/>
    <w:rsid w:val="00704FDA"/>
    <w:rsid w:val="00707214"/>
    <w:rsid w:val="00710E64"/>
    <w:rsid w:val="0071174B"/>
    <w:rsid w:val="00712A35"/>
    <w:rsid w:val="00713094"/>
    <w:rsid w:val="00714F48"/>
    <w:rsid w:val="007208F8"/>
    <w:rsid w:val="00720924"/>
    <w:rsid w:val="007223EC"/>
    <w:rsid w:val="00730092"/>
    <w:rsid w:val="00731E4B"/>
    <w:rsid w:val="007340DC"/>
    <w:rsid w:val="007374F1"/>
    <w:rsid w:val="007377C0"/>
    <w:rsid w:val="00740D3C"/>
    <w:rsid w:val="007434A1"/>
    <w:rsid w:val="0074362E"/>
    <w:rsid w:val="0074632A"/>
    <w:rsid w:val="00746A8C"/>
    <w:rsid w:val="0075319D"/>
    <w:rsid w:val="00753AFF"/>
    <w:rsid w:val="00753E1F"/>
    <w:rsid w:val="007556FF"/>
    <w:rsid w:val="00756985"/>
    <w:rsid w:val="00762E9C"/>
    <w:rsid w:val="007643B0"/>
    <w:rsid w:val="00765F1C"/>
    <w:rsid w:val="0077585D"/>
    <w:rsid w:val="00791383"/>
    <w:rsid w:val="007921C8"/>
    <w:rsid w:val="00793412"/>
    <w:rsid w:val="007A02FC"/>
    <w:rsid w:val="007A1703"/>
    <w:rsid w:val="007A61F8"/>
    <w:rsid w:val="007A7303"/>
    <w:rsid w:val="007B4B89"/>
    <w:rsid w:val="007C22BA"/>
    <w:rsid w:val="007C2898"/>
    <w:rsid w:val="007C518C"/>
    <w:rsid w:val="007C5741"/>
    <w:rsid w:val="007C5AB7"/>
    <w:rsid w:val="007C7AE3"/>
    <w:rsid w:val="007D071F"/>
    <w:rsid w:val="007D271F"/>
    <w:rsid w:val="007D2C54"/>
    <w:rsid w:val="007D57BE"/>
    <w:rsid w:val="007E0E43"/>
    <w:rsid w:val="007E2D8F"/>
    <w:rsid w:val="007E485C"/>
    <w:rsid w:val="007E545F"/>
    <w:rsid w:val="007E5E31"/>
    <w:rsid w:val="007E7074"/>
    <w:rsid w:val="007F5E93"/>
    <w:rsid w:val="007F5FF4"/>
    <w:rsid w:val="007F656F"/>
    <w:rsid w:val="007F6E85"/>
    <w:rsid w:val="0080031A"/>
    <w:rsid w:val="00801747"/>
    <w:rsid w:val="0080277C"/>
    <w:rsid w:val="008064C0"/>
    <w:rsid w:val="00806730"/>
    <w:rsid w:val="00807879"/>
    <w:rsid w:val="00816E6D"/>
    <w:rsid w:val="00816F8E"/>
    <w:rsid w:val="00821F64"/>
    <w:rsid w:val="008227AF"/>
    <w:rsid w:val="00823296"/>
    <w:rsid w:val="008277CC"/>
    <w:rsid w:val="00831B75"/>
    <w:rsid w:val="00834E7D"/>
    <w:rsid w:val="0084025A"/>
    <w:rsid w:val="008404DD"/>
    <w:rsid w:val="0084196C"/>
    <w:rsid w:val="0084253B"/>
    <w:rsid w:val="008466C6"/>
    <w:rsid w:val="008468C8"/>
    <w:rsid w:val="0085025F"/>
    <w:rsid w:val="00850683"/>
    <w:rsid w:val="00850B7E"/>
    <w:rsid w:val="008549EA"/>
    <w:rsid w:val="0085655F"/>
    <w:rsid w:val="0085664A"/>
    <w:rsid w:val="00857690"/>
    <w:rsid w:val="00863BF0"/>
    <w:rsid w:val="00865373"/>
    <w:rsid w:val="00867A42"/>
    <w:rsid w:val="00867D63"/>
    <w:rsid w:val="00870A28"/>
    <w:rsid w:val="008744B4"/>
    <w:rsid w:val="008761D9"/>
    <w:rsid w:val="0087793C"/>
    <w:rsid w:val="0088078C"/>
    <w:rsid w:val="008819D2"/>
    <w:rsid w:val="00887557"/>
    <w:rsid w:val="00887B37"/>
    <w:rsid w:val="0089072E"/>
    <w:rsid w:val="00893533"/>
    <w:rsid w:val="008969ED"/>
    <w:rsid w:val="00897CB6"/>
    <w:rsid w:val="008A03E7"/>
    <w:rsid w:val="008A4E31"/>
    <w:rsid w:val="008B2318"/>
    <w:rsid w:val="008B651B"/>
    <w:rsid w:val="008C687C"/>
    <w:rsid w:val="008C6BA4"/>
    <w:rsid w:val="008D2618"/>
    <w:rsid w:val="008D3684"/>
    <w:rsid w:val="008D5063"/>
    <w:rsid w:val="008E08C7"/>
    <w:rsid w:val="008E0C6E"/>
    <w:rsid w:val="008E16DA"/>
    <w:rsid w:val="008E1D38"/>
    <w:rsid w:val="008E2E8D"/>
    <w:rsid w:val="008E3668"/>
    <w:rsid w:val="008E6EAF"/>
    <w:rsid w:val="008F1E55"/>
    <w:rsid w:val="008F2712"/>
    <w:rsid w:val="008F2723"/>
    <w:rsid w:val="008F7760"/>
    <w:rsid w:val="00912283"/>
    <w:rsid w:val="00916C44"/>
    <w:rsid w:val="00932F95"/>
    <w:rsid w:val="00935831"/>
    <w:rsid w:val="00935F62"/>
    <w:rsid w:val="00940901"/>
    <w:rsid w:val="009409D6"/>
    <w:rsid w:val="0094289C"/>
    <w:rsid w:val="009447CD"/>
    <w:rsid w:val="009500DD"/>
    <w:rsid w:val="009530D3"/>
    <w:rsid w:val="00955130"/>
    <w:rsid w:val="009555F2"/>
    <w:rsid w:val="00967290"/>
    <w:rsid w:val="00970911"/>
    <w:rsid w:val="00970A82"/>
    <w:rsid w:val="00971499"/>
    <w:rsid w:val="00972540"/>
    <w:rsid w:val="00975DB4"/>
    <w:rsid w:val="00975E1B"/>
    <w:rsid w:val="009802AD"/>
    <w:rsid w:val="0098088D"/>
    <w:rsid w:val="0098133D"/>
    <w:rsid w:val="0098165F"/>
    <w:rsid w:val="009844F3"/>
    <w:rsid w:val="009866C0"/>
    <w:rsid w:val="00987370"/>
    <w:rsid w:val="009902E3"/>
    <w:rsid w:val="0099216E"/>
    <w:rsid w:val="00992652"/>
    <w:rsid w:val="00992E5F"/>
    <w:rsid w:val="00993E2A"/>
    <w:rsid w:val="0099410C"/>
    <w:rsid w:val="00995C74"/>
    <w:rsid w:val="009A37E3"/>
    <w:rsid w:val="009A58E0"/>
    <w:rsid w:val="009B0175"/>
    <w:rsid w:val="009B21E9"/>
    <w:rsid w:val="009B5607"/>
    <w:rsid w:val="009C02D0"/>
    <w:rsid w:val="009C288F"/>
    <w:rsid w:val="009C3CB7"/>
    <w:rsid w:val="009C5DB4"/>
    <w:rsid w:val="009C7314"/>
    <w:rsid w:val="009C731E"/>
    <w:rsid w:val="009C7370"/>
    <w:rsid w:val="009D0B45"/>
    <w:rsid w:val="009D39FE"/>
    <w:rsid w:val="009D6101"/>
    <w:rsid w:val="009E2F8D"/>
    <w:rsid w:val="009E33BE"/>
    <w:rsid w:val="009E566A"/>
    <w:rsid w:val="009E76B8"/>
    <w:rsid w:val="009F3DEF"/>
    <w:rsid w:val="009F44E3"/>
    <w:rsid w:val="00A012C3"/>
    <w:rsid w:val="00A02207"/>
    <w:rsid w:val="00A046B8"/>
    <w:rsid w:val="00A15594"/>
    <w:rsid w:val="00A15B3E"/>
    <w:rsid w:val="00A17082"/>
    <w:rsid w:val="00A20BEF"/>
    <w:rsid w:val="00A20FD4"/>
    <w:rsid w:val="00A25171"/>
    <w:rsid w:val="00A3270C"/>
    <w:rsid w:val="00A32E01"/>
    <w:rsid w:val="00A33B8F"/>
    <w:rsid w:val="00A352FE"/>
    <w:rsid w:val="00A3604B"/>
    <w:rsid w:val="00A40278"/>
    <w:rsid w:val="00A40FFA"/>
    <w:rsid w:val="00A412CD"/>
    <w:rsid w:val="00A41D19"/>
    <w:rsid w:val="00A439A5"/>
    <w:rsid w:val="00A43FEE"/>
    <w:rsid w:val="00A443E2"/>
    <w:rsid w:val="00A51B49"/>
    <w:rsid w:val="00A57E5A"/>
    <w:rsid w:val="00A61D42"/>
    <w:rsid w:val="00A65961"/>
    <w:rsid w:val="00A664D0"/>
    <w:rsid w:val="00A707AB"/>
    <w:rsid w:val="00A7174C"/>
    <w:rsid w:val="00A72D96"/>
    <w:rsid w:val="00A81D94"/>
    <w:rsid w:val="00A82607"/>
    <w:rsid w:val="00A83946"/>
    <w:rsid w:val="00A87AC2"/>
    <w:rsid w:val="00A90308"/>
    <w:rsid w:val="00A915B9"/>
    <w:rsid w:val="00AA0638"/>
    <w:rsid w:val="00AA0FE4"/>
    <w:rsid w:val="00AA14BF"/>
    <w:rsid w:val="00AA18DC"/>
    <w:rsid w:val="00AA3D2A"/>
    <w:rsid w:val="00AA672E"/>
    <w:rsid w:val="00AB5D35"/>
    <w:rsid w:val="00AC5137"/>
    <w:rsid w:val="00AC5461"/>
    <w:rsid w:val="00AD4458"/>
    <w:rsid w:val="00AD5DBF"/>
    <w:rsid w:val="00AD6F1A"/>
    <w:rsid w:val="00AE19C1"/>
    <w:rsid w:val="00AE71EB"/>
    <w:rsid w:val="00AF287A"/>
    <w:rsid w:val="00AF5374"/>
    <w:rsid w:val="00AF599C"/>
    <w:rsid w:val="00AF68F0"/>
    <w:rsid w:val="00AF714F"/>
    <w:rsid w:val="00AF7214"/>
    <w:rsid w:val="00B00B05"/>
    <w:rsid w:val="00B01148"/>
    <w:rsid w:val="00B022D3"/>
    <w:rsid w:val="00B05DF5"/>
    <w:rsid w:val="00B11454"/>
    <w:rsid w:val="00B114BD"/>
    <w:rsid w:val="00B16F02"/>
    <w:rsid w:val="00B213B5"/>
    <w:rsid w:val="00B214A8"/>
    <w:rsid w:val="00B21A0D"/>
    <w:rsid w:val="00B23980"/>
    <w:rsid w:val="00B27B90"/>
    <w:rsid w:val="00B31F5F"/>
    <w:rsid w:val="00B3261A"/>
    <w:rsid w:val="00B42985"/>
    <w:rsid w:val="00B465AA"/>
    <w:rsid w:val="00B60BF0"/>
    <w:rsid w:val="00B61EEC"/>
    <w:rsid w:val="00B62D24"/>
    <w:rsid w:val="00B645DF"/>
    <w:rsid w:val="00B64E0A"/>
    <w:rsid w:val="00B674B4"/>
    <w:rsid w:val="00B6750D"/>
    <w:rsid w:val="00B71E4D"/>
    <w:rsid w:val="00B723A5"/>
    <w:rsid w:val="00B76443"/>
    <w:rsid w:val="00B80B09"/>
    <w:rsid w:val="00B811D0"/>
    <w:rsid w:val="00B82F1E"/>
    <w:rsid w:val="00B845AF"/>
    <w:rsid w:val="00B84F95"/>
    <w:rsid w:val="00B8515D"/>
    <w:rsid w:val="00B858B6"/>
    <w:rsid w:val="00B91852"/>
    <w:rsid w:val="00B94506"/>
    <w:rsid w:val="00B94992"/>
    <w:rsid w:val="00B97C54"/>
    <w:rsid w:val="00BA1652"/>
    <w:rsid w:val="00BA1F31"/>
    <w:rsid w:val="00BA4655"/>
    <w:rsid w:val="00BA4FF5"/>
    <w:rsid w:val="00BA738D"/>
    <w:rsid w:val="00BB5E28"/>
    <w:rsid w:val="00BC0274"/>
    <w:rsid w:val="00BC1B87"/>
    <w:rsid w:val="00BC24FA"/>
    <w:rsid w:val="00BC2F9E"/>
    <w:rsid w:val="00BC3EC9"/>
    <w:rsid w:val="00BD27D3"/>
    <w:rsid w:val="00BE0E3E"/>
    <w:rsid w:val="00BE1FC0"/>
    <w:rsid w:val="00BE430D"/>
    <w:rsid w:val="00BE6C82"/>
    <w:rsid w:val="00BE6CC7"/>
    <w:rsid w:val="00BF6D59"/>
    <w:rsid w:val="00C02A09"/>
    <w:rsid w:val="00C045C2"/>
    <w:rsid w:val="00C04CAA"/>
    <w:rsid w:val="00C05A55"/>
    <w:rsid w:val="00C11CEB"/>
    <w:rsid w:val="00C13FA0"/>
    <w:rsid w:val="00C159F5"/>
    <w:rsid w:val="00C172EA"/>
    <w:rsid w:val="00C233BE"/>
    <w:rsid w:val="00C25529"/>
    <w:rsid w:val="00C313A4"/>
    <w:rsid w:val="00C32B9E"/>
    <w:rsid w:val="00C34048"/>
    <w:rsid w:val="00C344BE"/>
    <w:rsid w:val="00C34E19"/>
    <w:rsid w:val="00C364A3"/>
    <w:rsid w:val="00C4362B"/>
    <w:rsid w:val="00C50113"/>
    <w:rsid w:val="00C52BAA"/>
    <w:rsid w:val="00C559CA"/>
    <w:rsid w:val="00C601B5"/>
    <w:rsid w:val="00C646BB"/>
    <w:rsid w:val="00C67C1B"/>
    <w:rsid w:val="00C7036B"/>
    <w:rsid w:val="00C71017"/>
    <w:rsid w:val="00C7424A"/>
    <w:rsid w:val="00C74D6B"/>
    <w:rsid w:val="00C75B15"/>
    <w:rsid w:val="00C83F7E"/>
    <w:rsid w:val="00C851DC"/>
    <w:rsid w:val="00C863C4"/>
    <w:rsid w:val="00C90AD7"/>
    <w:rsid w:val="00C95E11"/>
    <w:rsid w:val="00CA0508"/>
    <w:rsid w:val="00CA11D4"/>
    <w:rsid w:val="00CA156B"/>
    <w:rsid w:val="00CA686D"/>
    <w:rsid w:val="00CA7C86"/>
    <w:rsid w:val="00CB1763"/>
    <w:rsid w:val="00CC0C5B"/>
    <w:rsid w:val="00CC292B"/>
    <w:rsid w:val="00CC422B"/>
    <w:rsid w:val="00CC60C7"/>
    <w:rsid w:val="00CC70C1"/>
    <w:rsid w:val="00CC7C0C"/>
    <w:rsid w:val="00CC7DCF"/>
    <w:rsid w:val="00CD045D"/>
    <w:rsid w:val="00CD384C"/>
    <w:rsid w:val="00CD5056"/>
    <w:rsid w:val="00CD5FE8"/>
    <w:rsid w:val="00CD6497"/>
    <w:rsid w:val="00CD6A2F"/>
    <w:rsid w:val="00CE0240"/>
    <w:rsid w:val="00CE7A2A"/>
    <w:rsid w:val="00CF09CF"/>
    <w:rsid w:val="00CF1617"/>
    <w:rsid w:val="00CF2F69"/>
    <w:rsid w:val="00CF3A6C"/>
    <w:rsid w:val="00CF68A4"/>
    <w:rsid w:val="00CF7361"/>
    <w:rsid w:val="00D00A49"/>
    <w:rsid w:val="00D00CB3"/>
    <w:rsid w:val="00D01E35"/>
    <w:rsid w:val="00D02209"/>
    <w:rsid w:val="00D05C2F"/>
    <w:rsid w:val="00D12F2B"/>
    <w:rsid w:val="00D17C73"/>
    <w:rsid w:val="00D214D4"/>
    <w:rsid w:val="00D23662"/>
    <w:rsid w:val="00D30245"/>
    <w:rsid w:val="00D30838"/>
    <w:rsid w:val="00D310DE"/>
    <w:rsid w:val="00D325E7"/>
    <w:rsid w:val="00D352E4"/>
    <w:rsid w:val="00D37477"/>
    <w:rsid w:val="00D37D42"/>
    <w:rsid w:val="00D41BBF"/>
    <w:rsid w:val="00D44C4F"/>
    <w:rsid w:val="00D54710"/>
    <w:rsid w:val="00D54AD1"/>
    <w:rsid w:val="00D57A5D"/>
    <w:rsid w:val="00D60418"/>
    <w:rsid w:val="00D63A8D"/>
    <w:rsid w:val="00D64CD4"/>
    <w:rsid w:val="00D73D6C"/>
    <w:rsid w:val="00D77A91"/>
    <w:rsid w:val="00D811DA"/>
    <w:rsid w:val="00D853A1"/>
    <w:rsid w:val="00D87CAD"/>
    <w:rsid w:val="00D87D7F"/>
    <w:rsid w:val="00DA08D6"/>
    <w:rsid w:val="00DA0C31"/>
    <w:rsid w:val="00DA0F27"/>
    <w:rsid w:val="00DA5B1E"/>
    <w:rsid w:val="00DB03A3"/>
    <w:rsid w:val="00DC023B"/>
    <w:rsid w:val="00DC316D"/>
    <w:rsid w:val="00DC3DA2"/>
    <w:rsid w:val="00DC4F4C"/>
    <w:rsid w:val="00DC5672"/>
    <w:rsid w:val="00DC61D5"/>
    <w:rsid w:val="00DD0943"/>
    <w:rsid w:val="00DD163C"/>
    <w:rsid w:val="00DD1C5E"/>
    <w:rsid w:val="00DD4590"/>
    <w:rsid w:val="00DD5CEE"/>
    <w:rsid w:val="00DE24EC"/>
    <w:rsid w:val="00DE3662"/>
    <w:rsid w:val="00DE4705"/>
    <w:rsid w:val="00DF4E1C"/>
    <w:rsid w:val="00E012CD"/>
    <w:rsid w:val="00E01963"/>
    <w:rsid w:val="00E01B37"/>
    <w:rsid w:val="00E02ABF"/>
    <w:rsid w:val="00E06D4F"/>
    <w:rsid w:val="00E10044"/>
    <w:rsid w:val="00E1142B"/>
    <w:rsid w:val="00E11B4C"/>
    <w:rsid w:val="00E12C25"/>
    <w:rsid w:val="00E2014F"/>
    <w:rsid w:val="00E22001"/>
    <w:rsid w:val="00E2321E"/>
    <w:rsid w:val="00E23EB3"/>
    <w:rsid w:val="00E25AE0"/>
    <w:rsid w:val="00E2619B"/>
    <w:rsid w:val="00E304D3"/>
    <w:rsid w:val="00E30519"/>
    <w:rsid w:val="00E30AB0"/>
    <w:rsid w:val="00E30F15"/>
    <w:rsid w:val="00E34B5C"/>
    <w:rsid w:val="00E40A26"/>
    <w:rsid w:val="00E41301"/>
    <w:rsid w:val="00E41C9B"/>
    <w:rsid w:val="00E41EF3"/>
    <w:rsid w:val="00E46D0C"/>
    <w:rsid w:val="00E51306"/>
    <w:rsid w:val="00E51DF4"/>
    <w:rsid w:val="00E60F7F"/>
    <w:rsid w:val="00E62E35"/>
    <w:rsid w:val="00E63387"/>
    <w:rsid w:val="00E65515"/>
    <w:rsid w:val="00E66B57"/>
    <w:rsid w:val="00E671BF"/>
    <w:rsid w:val="00E738A2"/>
    <w:rsid w:val="00E74465"/>
    <w:rsid w:val="00E80ADC"/>
    <w:rsid w:val="00E81A89"/>
    <w:rsid w:val="00E87332"/>
    <w:rsid w:val="00E87B13"/>
    <w:rsid w:val="00E9153D"/>
    <w:rsid w:val="00E92DA5"/>
    <w:rsid w:val="00E934E6"/>
    <w:rsid w:val="00E950CF"/>
    <w:rsid w:val="00E95F87"/>
    <w:rsid w:val="00E968A3"/>
    <w:rsid w:val="00EB0955"/>
    <w:rsid w:val="00EB2FA1"/>
    <w:rsid w:val="00EB407A"/>
    <w:rsid w:val="00EB442F"/>
    <w:rsid w:val="00EC03E1"/>
    <w:rsid w:val="00EC7A97"/>
    <w:rsid w:val="00ED00BD"/>
    <w:rsid w:val="00ED0C8F"/>
    <w:rsid w:val="00ED6CAC"/>
    <w:rsid w:val="00EF0234"/>
    <w:rsid w:val="00EF36F5"/>
    <w:rsid w:val="00F01713"/>
    <w:rsid w:val="00F05656"/>
    <w:rsid w:val="00F0572F"/>
    <w:rsid w:val="00F061A0"/>
    <w:rsid w:val="00F14300"/>
    <w:rsid w:val="00F2480F"/>
    <w:rsid w:val="00F26996"/>
    <w:rsid w:val="00F27D50"/>
    <w:rsid w:val="00F31D36"/>
    <w:rsid w:val="00F320FA"/>
    <w:rsid w:val="00F32C37"/>
    <w:rsid w:val="00F33049"/>
    <w:rsid w:val="00F37160"/>
    <w:rsid w:val="00F37AE9"/>
    <w:rsid w:val="00F41830"/>
    <w:rsid w:val="00F42497"/>
    <w:rsid w:val="00F43E5E"/>
    <w:rsid w:val="00F46DFD"/>
    <w:rsid w:val="00F53526"/>
    <w:rsid w:val="00F54F30"/>
    <w:rsid w:val="00F567E1"/>
    <w:rsid w:val="00F57A74"/>
    <w:rsid w:val="00F60410"/>
    <w:rsid w:val="00F61317"/>
    <w:rsid w:val="00F631B1"/>
    <w:rsid w:val="00F65DCC"/>
    <w:rsid w:val="00F7758E"/>
    <w:rsid w:val="00F8389D"/>
    <w:rsid w:val="00F83A8A"/>
    <w:rsid w:val="00F860DA"/>
    <w:rsid w:val="00F90CAA"/>
    <w:rsid w:val="00F973D6"/>
    <w:rsid w:val="00FA0CDB"/>
    <w:rsid w:val="00FA163B"/>
    <w:rsid w:val="00FA2827"/>
    <w:rsid w:val="00FA511A"/>
    <w:rsid w:val="00FB2601"/>
    <w:rsid w:val="00FB4042"/>
    <w:rsid w:val="00FB4118"/>
    <w:rsid w:val="00FC22C8"/>
    <w:rsid w:val="00FC3D3C"/>
    <w:rsid w:val="00FC59D0"/>
    <w:rsid w:val="00FD08F6"/>
    <w:rsid w:val="00FE5DF7"/>
    <w:rsid w:val="00FF01C0"/>
    <w:rsid w:val="00FF5950"/>
    <w:rsid w:val="00FF65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en-GB" w:eastAsia="zh-C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rsid w:val="0080277C"/>
    <w:pPr>
      <w:spacing w:before="100" w:beforeAutospacing="1" w:after="100" w:afterAutospacing="1"/>
    </w:pPr>
  </w:style>
  <w:style w:type="paragraph" w:styleId="Data">
    <w:name w:val="Date"/>
    <w:basedOn w:val="Normale"/>
    <w:next w:val="Normale"/>
    <w:rsid w:val="009844F3"/>
  </w:style>
  <w:style w:type="paragraph" w:styleId="Intestazione">
    <w:name w:val="header"/>
    <w:basedOn w:val="Normale"/>
    <w:rsid w:val="009844F3"/>
    <w:pPr>
      <w:tabs>
        <w:tab w:val="center" w:pos="4153"/>
        <w:tab w:val="right" w:pos="8306"/>
      </w:tabs>
    </w:pPr>
  </w:style>
  <w:style w:type="paragraph" w:styleId="Pidipagina">
    <w:name w:val="footer"/>
    <w:basedOn w:val="Normale"/>
    <w:rsid w:val="009844F3"/>
    <w:pPr>
      <w:tabs>
        <w:tab w:val="center" w:pos="4153"/>
        <w:tab w:val="right" w:pos="8306"/>
      </w:tabs>
    </w:pPr>
  </w:style>
  <w:style w:type="character" w:styleId="Collegamentoipertestuale">
    <w:name w:val="Hyperlink"/>
    <w:rsid w:val="000E1883"/>
    <w:rPr>
      <w:color w:val="0000FF"/>
      <w:u w:val="single"/>
    </w:rPr>
  </w:style>
  <w:style w:type="character" w:customStyle="1" w:styleId="st">
    <w:name w:val="st"/>
    <w:rsid w:val="000E1883"/>
  </w:style>
  <w:style w:type="character" w:styleId="CitazioneHTML">
    <w:name w:val="HTML Cite"/>
    <w:uiPriority w:val="99"/>
    <w:unhideWhenUsed/>
    <w:rsid w:val="00C02A09"/>
    <w:rPr>
      <w:i/>
      <w:iCs/>
    </w:rPr>
  </w:style>
  <w:style w:type="character" w:customStyle="1" w:styleId="st1">
    <w:name w:val="st1"/>
    <w:rsid w:val="00063CAC"/>
  </w:style>
</w:styles>
</file>

<file path=word/webSettings.xml><?xml version="1.0" encoding="utf-8"?>
<w:webSettings xmlns:r="http://schemas.openxmlformats.org/officeDocument/2006/relationships" xmlns:w="http://schemas.openxmlformats.org/wordprocessingml/2006/main">
  <w:divs>
    <w:div w:id="174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796368">
          <w:marLeft w:val="0"/>
          <w:marRight w:val="0"/>
          <w:marTop w:val="0"/>
          <w:marBottom w:val="0"/>
          <w:divBdr>
            <w:top w:val="none" w:sz="0" w:space="0" w:color="auto"/>
            <w:left w:val="none" w:sz="0" w:space="0" w:color="auto"/>
            <w:bottom w:val="none" w:sz="0" w:space="0" w:color="auto"/>
            <w:right w:val="none" w:sz="0" w:space="0" w:color="auto"/>
          </w:divBdr>
          <w:divsChild>
            <w:div w:id="946235166">
              <w:marLeft w:val="0"/>
              <w:marRight w:val="0"/>
              <w:marTop w:val="0"/>
              <w:marBottom w:val="0"/>
              <w:divBdr>
                <w:top w:val="none" w:sz="0" w:space="0" w:color="auto"/>
                <w:left w:val="none" w:sz="0" w:space="0" w:color="auto"/>
                <w:bottom w:val="none" w:sz="0" w:space="0" w:color="auto"/>
                <w:right w:val="none" w:sz="0" w:space="0" w:color="auto"/>
              </w:divBdr>
              <w:divsChild>
                <w:div w:id="436682397">
                  <w:marLeft w:val="0"/>
                  <w:marRight w:val="0"/>
                  <w:marTop w:val="0"/>
                  <w:marBottom w:val="0"/>
                  <w:divBdr>
                    <w:top w:val="none" w:sz="0" w:space="0" w:color="auto"/>
                    <w:left w:val="none" w:sz="0" w:space="0" w:color="auto"/>
                    <w:bottom w:val="none" w:sz="0" w:space="0" w:color="auto"/>
                    <w:right w:val="none" w:sz="0" w:space="0" w:color="auto"/>
                  </w:divBdr>
                  <w:divsChild>
                    <w:div w:id="1066798985">
                      <w:marLeft w:val="0"/>
                      <w:marRight w:val="0"/>
                      <w:marTop w:val="0"/>
                      <w:marBottom w:val="0"/>
                      <w:divBdr>
                        <w:top w:val="none" w:sz="0" w:space="0" w:color="auto"/>
                        <w:left w:val="none" w:sz="0" w:space="0" w:color="auto"/>
                        <w:bottom w:val="none" w:sz="0" w:space="0" w:color="auto"/>
                        <w:right w:val="none" w:sz="0" w:space="0" w:color="auto"/>
                      </w:divBdr>
                      <w:divsChild>
                        <w:div w:id="1685746287">
                          <w:marLeft w:val="0"/>
                          <w:marRight w:val="0"/>
                          <w:marTop w:val="0"/>
                          <w:marBottom w:val="0"/>
                          <w:divBdr>
                            <w:top w:val="none" w:sz="0" w:space="0" w:color="auto"/>
                            <w:left w:val="none" w:sz="0" w:space="0" w:color="auto"/>
                            <w:bottom w:val="none" w:sz="0" w:space="0" w:color="auto"/>
                            <w:right w:val="none" w:sz="0" w:space="0" w:color="auto"/>
                          </w:divBdr>
                          <w:divsChild>
                            <w:div w:id="1570456333">
                              <w:marLeft w:val="0"/>
                              <w:marRight w:val="0"/>
                              <w:marTop w:val="0"/>
                              <w:marBottom w:val="0"/>
                              <w:divBdr>
                                <w:top w:val="none" w:sz="0" w:space="0" w:color="auto"/>
                                <w:left w:val="none" w:sz="0" w:space="0" w:color="auto"/>
                                <w:bottom w:val="none" w:sz="0" w:space="0" w:color="auto"/>
                                <w:right w:val="none" w:sz="0" w:space="0" w:color="auto"/>
                              </w:divBdr>
                              <w:divsChild>
                                <w:div w:id="840509008">
                                  <w:marLeft w:val="0"/>
                                  <w:marRight w:val="0"/>
                                  <w:marTop w:val="0"/>
                                  <w:marBottom w:val="0"/>
                                  <w:divBdr>
                                    <w:top w:val="none" w:sz="0" w:space="0" w:color="auto"/>
                                    <w:left w:val="none" w:sz="0" w:space="0" w:color="auto"/>
                                    <w:bottom w:val="none" w:sz="0" w:space="0" w:color="auto"/>
                                    <w:right w:val="none" w:sz="0" w:space="0" w:color="auto"/>
                                  </w:divBdr>
                                  <w:divsChild>
                                    <w:div w:id="1121648888">
                                      <w:marLeft w:val="0"/>
                                      <w:marRight w:val="0"/>
                                      <w:marTop w:val="0"/>
                                      <w:marBottom w:val="0"/>
                                      <w:divBdr>
                                        <w:top w:val="none" w:sz="0" w:space="0" w:color="auto"/>
                                        <w:left w:val="none" w:sz="0" w:space="0" w:color="auto"/>
                                        <w:bottom w:val="none" w:sz="0" w:space="0" w:color="auto"/>
                                        <w:right w:val="none" w:sz="0" w:space="0" w:color="auto"/>
                                      </w:divBdr>
                                      <w:divsChild>
                                        <w:div w:id="27144998">
                                          <w:marLeft w:val="0"/>
                                          <w:marRight w:val="0"/>
                                          <w:marTop w:val="0"/>
                                          <w:marBottom w:val="0"/>
                                          <w:divBdr>
                                            <w:top w:val="none" w:sz="0" w:space="0" w:color="auto"/>
                                            <w:left w:val="none" w:sz="0" w:space="0" w:color="auto"/>
                                            <w:bottom w:val="none" w:sz="0" w:space="0" w:color="auto"/>
                                            <w:right w:val="none" w:sz="0" w:space="0" w:color="auto"/>
                                          </w:divBdr>
                                          <w:divsChild>
                                            <w:div w:id="2108843085">
                                              <w:marLeft w:val="0"/>
                                              <w:marRight w:val="0"/>
                                              <w:marTop w:val="0"/>
                                              <w:marBottom w:val="0"/>
                                              <w:divBdr>
                                                <w:top w:val="none" w:sz="0" w:space="0" w:color="auto"/>
                                                <w:left w:val="none" w:sz="0" w:space="0" w:color="auto"/>
                                                <w:bottom w:val="none" w:sz="0" w:space="0" w:color="auto"/>
                                                <w:right w:val="none" w:sz="0" w:space="0" w:color="auto"/>
                                              </w:divBdr>
                                              <w:divsChild>
                                                <w:div w:id="1961837376">
                                                  <w:marLeft w:val="0"/>
                                                  <w:marRight w:val="0"/>
                                                  <w:marTop w:val="0"/>
                                                  <w:marBottom w:val="0"/>
                                                  <w:divBdr>
                                                    <w:top w:val="none" w:sz="0" w:space="0" w:color="auto"/>
                                                    <w:left w:val="none" w:sz="0" w:space="0" w:color="auto"/>
                                                    <w:bottom w:val="none" w:sz="0" w:space="0" w:color="auto"/>
                                                    <w:right w:val="none" w:sz="0" w:space="0" w:color="auto"/>
                                                  </w:divBdr>
                                                  <w:divsChild>
                                                    <w:div w:id="168446831">
                                                      <w:marLeft w:val="0"/>
                                                      <w:marRight w:val="0"/>
                                                      <w:marTop w:val="0"/>
                                                      <w:marBottom w:val="0"/>
                                                      <w:divBdr>
                                                        <w:top w:val="none" w:sz="0" w:space="0" w:color="auto"/>
                                                        <w:left w:val="none" w:sz="0" w:space="0" w:color="auto"/>
                                                        <w:bottom w:val="none" w:sz="0" w:space="0" w:color="auto"/>
                                                        <w:right w:val="none" w:sz="0" w:space="0" w:color="auto"/>
                                                      </w:divBdr>
                                                      <w:divsChild>
                                                        <w:div w:id="663899919">
                                                          <w:marLeft w:val="0"/>
                                                          <w:marRight w:val="0"/>
                                                          <w:marTop w:val="0"/>
                                                          <w:marBottom w:val="0"/>
                                                          <w:divBdr>
                                                            <w:top w:val="none" w:sz="0" w:space="0" w:color="auto"/>
                                                            <w:left w:val="none" w:sz="0" w:space="0" w:color="auto"/>
                                                            <w:bottom w:val="none" w:sz="0" w:space="0" w:color="auto"/>
                                                            <w:right w:val="none" w:sz="0" w:space="0" w:color="auto"/>
                                                          </w:divBdr>
                                                          <w:divsChild>
                                                            <w:div w:id="793017257">
                                                              <w:marLeft w:val="0"/>
                                                              <w:marRight w:val="0"/>
                                                              <w:marTop w:val="0"/>
                                                              <w:marBottom w:val="0"/>
                                                              <w:divBdr>
                                                                <w:top w:val="none" w:sz="0" w:space="0" w:color="auto"/>
                                                                <w:left w:val="none" w:sz="0" w:space="0" w:color="auto"/>
                                                                <w:bottom w:val="none" w:sz="0" w:space="0" w:color="auto"/>
                                                                <w:right w:val="none" w:sz="0" w:space="0" w:color="auto"/>
                                                              </w:divBdr>
                                                              <w:divsChild>
                                                                <w:div w:id="1097600456">
                                                                  <w:marLeft w:val="0"/>
                                                                  <w:marRight w:val="0"/>
                                                                  <w:marTop w:val="0"/>
                                                                  <w:marBottom w:val="0"/>
                                                                  <w:divBdr>
                                                                    <w:top w:val="none" w:sz="0" w:space="0" w:color="auto"/>
                                                                    <w:left w:val="none" w:sz="0" w:space="0" w:color="auto"/>
                                                                    <w:bottom w:val="none" w:sz="0" w:space="0" w:color="auto"/>
                                                                    <w:right w:val="none" w:sz="0" w:space="0" w:color="auto"/>
                                                                  </w:divBdr>
                                                                  <w:divsChild>
                                                                    <w:div w:id="1525748299">
                                                                      <w:marLeft w:val="0"/>
                                                                      <w:marRight w:val="0"/>
                                                                      <w:marTop w:val="0"/>
                                                                      <w:marBottom w:val="0"/>
                                                                      <w:divBdr>
                                                                        <w:top w:val="none" w:sz="0" w:space="0" w:color="auto"/>
                                                                        <w:left w:val="none" w:sz="0" w:space="0" w:color="auto"/>
                                                                        <w:bottom w:val="none" w:sz="0" w:space="0" w:color="auto"/>
                                                                        <w:right w:val="none" w:sz="0" w:space="0" w:color="auto"/>
                                                                      </w:divBdr>
                                                                      <w:divsChild>
                                                                        <w:div w:id="7188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3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34E82-0823-4A92-BC75-ED96CB0D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Notice on Correction of the Registration Form to the Industry Injury Investigation of the Anti-dumping and Countervailing case on Wine</vt:lpstr>
    </vt:vector>
  </TitlesOfParts>
  <Company>European Commission</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on Correction of the Registration Form to the Industry Injury Investigation of the Anti-dumping and Countervailing case on Wine</dc:title>
  <dc:creator>liuqili</dc:creator>
  <cp:lastModifiedBy>DFrattale</cp:lastModifiedBy>
  <cp:revision>2</cp:revision>
  <dcterms:created xsi:type="dcterms:W3CDTF">2019-06-10T12:18:00Z</dcterms:created>
  <dcterms:modified xsi:type="dcterms:W3CDTF">2019-06-10T12:18:00Z</dcterms:modified>
</cp:coreProperties>
</file>