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7DF21" w14:textId="77777777" w:rsidR="00895DC4" w:rsidRPr="00895DC4" w:rsidRDefault="00895DC4" w:rsidP="00895DC4">
      <w:pPr>
        <w:spacing w:after="0" w:line="240" w:lineRule="auto"/>
        <w:jc w:val="both"/>
        <w:rPr>
          <w:rFonts w:ascii="Arial" w:eastAsia="Times New Roman" w:hAnsi="Arial" w:cs="Arial"/>
          <w:b/>
          <w:bCs/>
          <w:lang w:val="en-US"/>
        </w:rPr>
      </w:pPr>
      <w:r w:rsidRPr="00895DC4">
        <w:rPr>
          <w:rFonts w:ascii="Arial" w:eastAsia="Times New Roman" w:hAnsi="Arial" w:cs="Arial"/>
          <w:b/>
          <w:bCs/>
          <w:lang w:val="en-US"/>
        </w:rPr>
        <w:t>New anti-dumping investigation on heavy plates by Canada</w:t>
      </w:r>
    </w:p>
    <w:p w14:paraId="1627DE7D" w14:textId="77777777" w:rsidR="00895DC4" w:rsidRPr="00895DC4" w:rsidRDefault="00895DC4" w:rsidP="00895DC4">
      <w:pPr>
        <w:spacing w:after="0" w:line="240" w:lineRule="auto"/>
        <w:jc w:val="both"/>
        <w:rPr>
          <w:rFonts w:ascii="Arial" w:eastAsia="Times New Roman" w:hAnsi="Arial" w:cs="Arial"/>
          <w:lang w:val="en-US"/>
        </w:rPr>
      </w:pPr>
    </w:p>
    <w:tbl>
      <w:tblPr>
        <w:tblW w:w="5000" w:type="pct"/>
        <w:tblCellMar>
          <w:left w:w="0" w:type="dxa"/>
          <w:right w:w="0" w:type="dxa"/>
        </w:tblCellMar>
        <w:tblLook w:val="04A0" w:firstRow="1" w:lastRow="0" w:firstColumn="1" w:lastColumn="0" w:noHBand="0" w:noVBand="1"/>
      </w:tblPr>
      <w:tblGrid>
        <w:gridCol w:w="363"/>
        <w:gridCol w:w="1743"/>
        <w:gridCol w:w="7512"/>
      </w:tblGrid>
      <w:tr w:rsidR="00895DC4" w:rsidRPr="00895DC4" w14:paraId="48DB49E5" w14:textId="77777777" w:rsidTr="006F0CEC">
        <w:trPr>
          <w:trHeight w:val="577"/>
        </w:trPr>
        <w:tc>
          <w:tcPr>
            <w:tcW w:w="189" w:type="pct"/>
            <w:tcBorders>
              <w:top w:val="single" w:sz="8" w:space="0" w:color="auto"/>
              <w:left w:val="single" w:sz="8" w:space="0" w:color="auto"/>
              <w:bottom w:val="single" w:sz="8" w:space="0" w:color="auto"/>
              <w:right w:val="single" w:sz="8" w:space="0" w:color="auto"/>
            </w:tcBorders>
            <w:hideMark/>
          </w:tcPr>
          <w:p w14:paraId="128F31A9"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1</w:t>
            </w:r>
          </w:p>
        </w:tc>
        <w:tc>
          <w:tcPr>
            <w:tcW w:w="90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0E87A"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Product:</w:t>
            </w:r>
          </w:p>
        </w:tc>
        <w:tc>
          <w:tcPr>
            <w:tcW w:w="390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3601E"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 xml:space="preserve">Heavy </w:t>
            </w:r>
            <w:proofErr w:type="spellStart"/>
            <w:r w:rsidRPr="00895DC4">
              <w:rPr>
                <w:rFonts w:ascii="Arial" w:eastAsia="Times New Roman" w:hAnsi="Arial" w:cs="Arial"/>
              </w:rPr>
              <w:t>plates</w:t>
            </w:r>
            <w:proofErr w:type="spellEnd"/>
          </w:p>
        </w:tc>
      </w:tr>
      <w:tr w:rsidR="00895DC4" w:rsidRPr="00895DC4" w14:paraId="6B22537F" w14:textId="77777777" w:rsidTr="006F0CEC">
        <w:tc>
          <w:tcPr>
            <w:tcW w:w="189" w:type="pct"/>
            <w:tcBorders>
              <w:top w:val="nil"/>
              <w:left w:val="single" w:sz="8" w:space="0" w:color="auto"/>
              <w:bottom w:val="single" w:sz="8" w:space="0" w:color="auto"/>
              <w:right w:val="single" w:sz="8" w:space="0" w:color="auto"/>
            </w:tcBorders>
            <w:hideMark/>
          </w:tcPr>
          <w:p w14:paraId="1FAEBEB8"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2</w:t>
            </w:r>
          </w:p>
        </w:tc>
        <w:tc>
          <w:tcPr>
            <w:tcW w:w="906" w:type="pct"/>
            <w:tcBorders>
              <w:top w:val="nil"/>
              <w:left w:val="nil"/>
              <w:bottom w:val="single" w:sz="8" w:space="0" w:color="auto"/>
              <w:right w:val="single" w:sz="8" w:space="0" w:color="auto"/>
            </w:tcBorders>
            <w:tcMar>
              <w:top w:w="0" w:type="dxa"/>
              <w:left w:w="108" w:type="dxa"/>
              <w:bottom w:w="0" w:type="dxa"/>
              <w:right w:w="108" w:type="dxa"/>
            </w:tcMar>
            <w:hideMark/>
          </w:tcPr>
          <w:p w14:paraId="0DD75B3C"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 xml:space="preserve">Country </w:t>
            </w:r>
            <w:proofErr w:type="spellStart"/>
            <w:r w:rsidRPr="00895DC4">
              <w:rPr>
                <w:rFonts w:ascii="Arial" w:eastAsia="Times New Roman" w:hAnsi="Arial" w:cs="Arial"/>
              </w:rPr>
              <w:t>taking</w:t>
            </w:r>
            <w:proofErr w:type="spellEnd"/>
            <w:r w:rsidRPr="00895DC4">
              <w:rPr>
                <w:rFonts w:ascii="Arial" w:eastAsia="Times New Roman" w:hAnsi="Arial" w:cs="Arial"/>
              </w:rPr>
              <w:t xml:space="preserve"> action:</w:t>
            </w:r>
          </w:p>
        </w:tc>
        <w:tc>
          <w:tcPr>
            <w:tcW w:w="3905" w:type="pct"/>
            <w:tcBorders>
              <w:top w:val="nil"/>
              <w:left w:val="nil"/>
              <w:bottom w:val="single" w:sz="8" w:space="0" w:color="auto"/>
              <w:right w:val="single" w:sz="8" w:space="0" w:color="auto"/>
            </w:tcBorders>
            <w:tcMar>
              <w:top w:w="0" w:type="dxa"/>
              <w:left w:w="108" w:type="dxa"/>
              <w:bottom w:w="0" w:type="dxa"/>
              <w:right w:w="108" w:type="dxa"/>
            </w:tcMar>
            <w:hideMark/>
          </w:tcPr>
          <w:p w14:paraId="19D3BDBA"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Canada</w:t>
            </w:r>
          </w:p>
        </w:tc>
      </w:tr>
      <w:tr w:rsidR="00895DC4" w:rsidRPr="00895DC4" w14:paraId="0DDDE4E2" w14:textId="77777777" w:rsidTr="006F0CEC">
        <w:tc>
          <w:tcPr>
            <w:tcW w:w="189" w:type="pct"/>
            <w:tcBorders>
              <w:top w:val="nil"/>
              <w:left w:val="single" w:sz="8" w:space="0" w:color="auto"/>
              <w:bottom w:val="single" w:sz="8" w:space="0" w:color="auto"/>
              <w:right w:val="single" w:sz="8" w:space="0" w:color="auto"/>
            </w:tcBorders>
            <w:hideMark/>
          </w:tcPr>
          <w:p w14:paraId="1EEA218E"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3</w:t>
            </w:r>
          </w:p>
        </w:tc>
        <w:tc>
          <w:tcPr>
            <w:tcW w:w="906" w:type="pct"/>
            <w:tcBorders>
              <w:top w:val="nil"/>
              <w:left w:val="nil"/>
              <w:bottom w:val="single" w:sz="8" w:space="0" w:color="auto"/>
              <w:right w:val="single" w:sz="8" w:space="0" w:color="auto"/>
            </w:tcBorders>
            <w:tcMar>
              <w:top w:w="0" w:type="dxa"/>
              <w:left w:w="108" w:type="dxa"/>
              <w:bottom w:w="0" w:type="dxa"/>
              <w:right w:w="108" w:type="dxa"/>
            </w:tcMar>
            <w:hideMark/>
          </w:tcPr>
          <w:p w14:paraId="17160627"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 xml:space="preserve">EU Countries </w:t>
            </w:r>
            <w:proofErr w:type="spellStart"/>
            <w:r w:rsidRPr="00895DC4">
              <w:rPr>
                <w:rFonts w:ascii="Arial" w:eastAsia="Times New Roman" w:hAnsi="Arial" w:cs="Arial"/>
              </w:rPr>
              <w:t>concerned</w:t>
            </w:r>
            <w:proofErr w:type="spellEnd"/>
            <w:r w:rsidRPr="00895DC4">
              <w:rPr>
                <w:rFonts w:ascii="Arial" w:eastAsia="Times New Roman" w:hAnsi="Arial" w:cs="Arial"/>
              </w:rPr>
              <w:t>:</w:t>
            </w:r>
          </w:p>
        </w:tc>
        <w:tc>
          <w:tcPr>
            <w:tcW w:w="3905" w:type="pct"/>
            <w:tcBorders>
              <w:top w:val="nil"/>
              <w:left w:val="nil"/>
              <w:bottom w:val="single" w:sz="8" w:space="0" w:color="auto"/>
              <w:right w:val="single" w:sz="8" w:space="0" w:color="auto"/>
            </w:tcBorders>
            <w:tcMar>
              <w:top w:w="0" w:type="dxa"/>
              <w:left w:w="108" w:type="dxa"/>
              <w:bottom w:w="0" w:type="dxa"/>
              <w:right w:w="108" w:type="dxa"/>
            </w:tcMar>
            <w:hideMark/>
          </w:tcPr>
          <w:p w14:paraId="42F6B72C"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Germany</w:t>
            </w:r>
          </w:p>
        </w:tc>
      </w:tr>
      <w:tr w:rsidR="00895DC4" w:rsidRPr="00895DC4" w14:paraId="4A125ED9" w14:textId="77777777" w:rsidTr="006F0CEC">
        <w:tc>
          <w:tcPr>
            <w:tcW w:w="189" w:type="pct"/>
            <w:tcBorders>
              <w:top w:val="nil"/>
              <w:left w:val="single" w:sz="8" w:space="0" w:color="auto"/>
              <w:bottom w:val="single" w:sz="8" w:space="0" w:color="auto"/>
              <w:right w:val="single" w:sz="8" w:space="0" w:color="auto"/>
            </w:tcBorders>
            <w:hideMark/>
          </w:tcPr>
          <w:p w14:paraId="14A27A09"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4</w:t>
            </w:r>
          </w:p>
        </w:tc>
        <w:tc>
          <w:tcPr>
            <w:tcW w:w="906" w:type="pct"/>
            <w:tcBorders>
              <w:top w:val="nil"/>
              <w:left w:val="nil"/>
              <w:bottom w:val="single" w:sz="8" w:space="0" w:color="auto"/>
              <w:right w:val="single" w:sz="8" w:space="0" w:color="auto"/>
            </w:tcBorders>
            <w:tcMar>
              <w:top w:w="0" w:type="dxa"/>
              <w:left w:w="108" w:type="dxa"/>
              <w:bottom w:w="0" w:type="dxa"/>
              <w:right w:w="108" w:type="dxa"/>
            </w:tcMar>
            <w:hideMark/>
          </w:tcPr>
          <w:p w14:paraId="38306D22" w14:textId="77777777" w:rsidR="00895DC4" w:rsidRPr="00895DC4" w:rsidRDefault="00895DC4" w:rsidP="006F0CEC">
            <w:pPr>
              <w:spacing w:after="0" w:line="240" w:lineRule="auto"/>
              <w:jc w:val="both"/>
              <w:rPr>
                <w:rFonts w:ascii="Arial" w:eastAsia="Times New Roman" w:hAnsi="Arial" w:cs="Arial"/>
              </w:rPr>
            </w:pPr>
            <w:proofErr w:type="spellStart"/>
            <w:r w:rsidRPr="00895DC4">
              <w:rPr>
                <w:rFonts w:ascii="Arial" w:eastAsia="Times New Roman" w:hAnsi="Arial" w:cs="Arial"/>
              </w:rPr>
              <w:t>Type</w:t>
            </w:r>
            <w:proofErr w:type="spellEnd"/>
            <w:r w:rsidRPr="00895DC4">
              <w:rPr>
                <w:rFonts w:ascii="Arial" w:eastAsia="Times New Roman" w:hAnsi="Arial" w:cs="Arial"/>
              </w:rPr>
              <w:t xml:space="preserve"> of Case:</w:t>
            </w:r>
          </w:p>
        </w:tc>
        <w:tc>
          <w:tcPr>
            <w:tcW w:w="3905" w:type="pct"/>
            <w:tcBorders>
              <w:top w:val="nil"/>
              <w:left w:val="nil"/>
              <w:bottom w:val="single" w:sz="8" w:space="0" w:color="auto"/>
              <w:right w:val="single" w:sz="8" w:space="0" w:color="auto"/>
            </w:tcBorders>
            <w:tcMar>
              <w:top w:w="0" w:type="dxa"/>
              <w:left w:w="108" w:type="dxa"/>
              <w:bottom w:w="0" w:type="dxa"/>
              <w:right w:w="108" w:type="dxa"/>
            </w:tcMar>
            <w:hideMark/>
          </w:tcPr>
          <w:p w14:paraId="34D77E3B"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Anti-dumping</w:t>
            </w:r>
          </w:p>
        </w:tc>
      </w:tr>
      <w:tr w:rsidR="00895DC4" w:rsidRPr="00895DC4" w14:paraId="25669550" w14:textId="77777777" w:rsidTr="006F0CEC">
        <w:tc>
          <w:tcPr>
            <w:tcW w:w="189" w:type="pct"/>
            <w:tcBorders>
              <w:top w:val="nil"/>
              <w:left w:val="single" w:sz="8" w:space="0" w:color="auto"/>
              <w:bottom w:val="single" w:sz="8" w:space="0" w:color="auto"/>
              <w:right w:val="single" w:sz="8" w:space="0" w:color="auto"/>
            </w:tcBorders>
            <w:hideMark/>
          </w:tcPr>
          <w:p w14:paraId="3DCD7443"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5</w:t>
            </w:r>
          </w:p>
        </w:tc>
        <w:tc>
          <w:tcPr>
            <w:tcW w:w="906" w:type="pct"/>
            <w:tcBorders>
              <w:top w:val="nil"/>
              <w:left w:val="nil"/>
              <w:bottom w:val="single" w:sz="8" w:space="0" w:color="auto"/>
              <w:right w:val="single" w:sz="8" w:space="0" w:color="auto"/>
            </w:tcBorders>
            <w:tcMar>
              <w:top w:w="0" w:type="dxa"/>
              <w:left w:w="108" w:type="dxa"/>
              <w:bottom w:w="0" w:type="dxa"/>
              <w:right w:w="108" w:type="dxa"/>
            </w:tcMar>
            <w:hideMark/>
          </w:tcPr>
          <w:p w14:paraId="0DF2087B"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Status + Date:</w:t>
            </w:r>
          </w:p>
        </w:tc>
        <w:tc>
          <w:tcPr>
            <w:tcW w:w="3905" w:type="pct"/>
            <w:tcBorders>
              <w:top w:val="nil"/>
              <w:left w:val="nil"/>
              <w:bottom w:val="single" w:sz="8" w:space="0" w:color="auto"/>
              <w:right w:val="single" w:sz="8" w:space="0" w:color="auto"/>
            </w:tcBorders>
            <w:tcMar>
              <w:top w:w="0" w:type="dxa"/>
              <w:left w:w="108" w:type="dxa"/>
              <w:bottom w:w="0" w:type="dxa"/>
              <w:right w:w="108" w:type="dxa"/>
            </w:tcMar>
            <w:hideMark/>
          </w:tcPr>
          <w:p w14:paraId="193C1DDE" w14:textId="77777777" w:rsidR="00895DC4" w:rsidRPr="00895DC4" w:rsidRDefault="00895DC4" w:rsidP="006F0CEC">
            <w:pPr>
              <w:spacing w:after="0" w:line="240" w:lineRule="auto"/>
              <w:jc w:val="both"/>
              <w:rPr>
                <w:rFonts w:ascii="Arial" w:eastAsia="Times New Roman" w:hAnsi="Arial" w:cs="Arial"/>
              </w:rPr>
            </w:pPr>
            <w:proofErr w:type="spellStart"/>
            <w:r w:rsidRPr="00895DC4">
              <w:rPr>
                <w:rFonts w:ascii="Arial" w:eastAsia="Times New Roman" w:hAnsi="Arial" w:cs="Arial"/>
              </w:rPr>
              <w:t>Initiation</w:t>
            </w:r>
            <w:proofErr w:type="spellEnd"/>
            <w:r w:rsidRPr="00895DC4">
              <w:rPr>
                <w:rFonts w:ascii="Arial" w:eastAsia="Times New Roman" w:hAnsi="Arial" w:cs="Arial"/>
              </w:rPr>
              <w:t xml:space="preserve"> on 27 </w:t>
            </w:r>
            <w:proofErr w:type="spellStart"/>
            <w:r w:rsidRPr="00895DC4">
              <w:rPr>
                <w:rFonts w:ascii="Arial" w:eastAsia="Times New Roman" w:hAnsi="Arial" w:cs="Arial"/>
              </w:rPr>
              <w:t>May</w:t>
            </w:r>
            <w:proofErr w:type="spellEnd"/>
            <w:r w:rsidRPr="00895DC4">
              <w:rPr>
                <w:rFonts w:ascii="Arial" w:eastAsia="Times New Roman" w:hAnsi="Arial" w:cs="Arial"/>
              </w:rPr>
              <w:t xml:space="preserve"> 2020</w:t>
            </w:r>
          </w:p>
          <w:p w14:paraId="3252968E"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 xml:space="preserve">  </w:t>
            </w:r>
          </w:p>
        </w:tc>
      </w:tr>
      <w:tr w:rsidR="00895DC4" w:rsidRPr="00895DC4" w14:paraId="11274E24" w14:textId="77777777" w:rsidTr="006F0CEC">
        <w:tc>
          <w:tcPr>
            <w:tcW w:w="189" w:type="pct"/>
            <w:tcBorders>
              <w:top w:val="nil"/>
              <w:left w:val="single" w:sz="8" w:space="0" w:color="auto"/>
              <w:bottom w:val="single" w:sz="8" w:space="0" w:color="auto"/>
              <w:right w:val="single" w:sz="8" w:space="0" w:color="auto"/>
            </w:tcBorders>
            <w:hideMark/>
          </w:tcPr>
          <w:p w14:paraId="6B7ADBBA"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6</w:t>
            </w:r>
          </w:p>
        </w:tc>
        <w:tc>
          <w:tcPr>
            <w:tcW w:w="906" w:type="pct"/>
            <w:tcBorders>
              <w:top w:val="nil"/>
              <w:left w:val="nil"/>
              <w:bottom w:val="single" w:sz="8" w:space="0" w:color="auto"/>
              <w:right w:val="single" w:sz="8" w:space="0" w:color="auto"/>
            </w:tcBorders>
            <w:tcMar>
              <w:top w:w="0" w:type="dxa"/>
              <w:left w:w="108" w:type="dxa"/>
              <w:bottom w:w="0" w:type="dxa"/>
              <w:right w:w="108" w:type="dxa"/>
            </w:tcMar>
            <w:hideMark/>
          </w:tcPr>
          <w:p w14:paraId="634C5B37" w14:textId="77777777" w:rsidR="00895DC4" w:rsidRPr="00895DC4" w:rsidRDefault="00895DC4" w:rsidP="006F0CEC">
            <w:pPr>
              <w:spacing w:after="0" w:line="240" w:lineRule="auto"/>
              <w:jc w:val="both"/>
              <w:rPr>
                <w:rFonts w:ascii="Arial" w:eastAsia="Times New Roman" w:hAnsi="Arial" w:cs="Arial"/>
              </w:rPr>
            </w:pPr>
            <w:proofErr w:type="spellStart"/>
            <w:r w:rsidRPr="00895DC4">
              <w:rPr>
                <w:rFonts w:ascii="Arial" w:eastAsia="Times New Roman" w:hAnsi="Arial" w:cs="Arial"/>
              </w:rPr>
              <w:t>Tariff</w:t>
            </w:r>
            <w:proofErr w:type="spellEnd"/>
            <w:r w:rsidRPr="00895DC4">
              <w:rPr>
                <w:rFonts w:ascii="Arial" w:eastAsia="Times New Roman" w:hAnsi="Arial" w:cs="Arial"/>
              </w:rPr>
              <w:t xml:space="preserve"> </w:t>
            </w:r>
            <w:proofErr w:type="spellStart"/>
            <w:r w:rsidRPr="00895DC4">
              <w:rPr>
                <w:rFonts w:ascii="Arial" w:eastAsia="Times New Roman" w:hAnsi="Arial" w:cs="Arial"/>
              </w:rPr>
              <w:t>codes</w:t>
            </w:r>
            <w:proofErr w:type="spellEnd"/>
            <w:r w:rsidRPr="00895DC4">
              <w:rPr>
                <w:rFonts w:ascii="Arial" w:eastAsia="Times New Roman" w:hAnsi="Arial" w:cs="Arial"/>
              </w:rPr>
              <w:t>:</w:t>
            </w:r>
          </w:p>
        </w:tc>
        <w:tc>
          <w:tcPr>
            <w:tcW w:w="3905" w:type="pct"/>
            <w:tcBorders>
              <w:top w:val="nil"/>
              <w:left w:val="nil"/>
              <w:bottom w:val="single" w:sz="8" w:space="0" w:color="auto"/>
              <w:right w:val="single" w:sz="8" w:space="0" w:color="auto"/>
            </w:tcBorders>
            <w:tcMar>
              <w:top w:w="0" w:type="dxa"/>
              <w:left w:w="108" w:type="dxa"/>
              <w:bottom w:w="0" w:type="dxa"/>
              <w:right w:w="108" w:type="dxa"/>
            </w:tcMar>
            <w:hideMark/>
          </w:tcPr>
          <w:p w14:paraId="03543582" w14:textId="77777777" w:rsidR="00895DC4" w:rsidRPr="00895DC4" w:rsidRDefault="00895DC4" w:rsidP="006F0CEC">
            <w:pPr>
              <w:spacing w:after="0" w:line="240" w:lineRule="auto"/>
              <w:jc w:val="both"/>
              <w:rPr>
                <w:rFonts w:ascii="Arial" w:eastAsia="Times New Roman" w:hAnsi="Arial" w:cs="Arial"/>
                <w:lang w:val="en-US"/>
              </w:rPr>
            </w:pPr>
            <w:r w:rsidRPr="00895DC4">
              <w:rPr>
                <w:rFonts w:ascii="Arial" w:eastAsia="Times New Roman" w:hAnsi="Arial" w:cs="Arial"/>
                <w:lang w:val="en-US"/>
              </w:rPr>
              <w:t>The product under investigation has the following description: Hot</w:t>
            </w:r>
            <w:r w:rsidRPr="00895DC4">
              <w:rPr>
                <w:rFonts w:ascii="Arial" w:eastAsia="Times New Roman" w:hAnsi="Arial" w:cs="Arial"/>
                <w:lang w:val="en-US"/>
              </w:rPr>
              <w:noBreakHyphen/>
              <w:t>rolled carbon steel plate and high</w:t>
            </w:r>
            <w:r w:rsidRPr="00895DC4">
              <w:rPr>
                <w:rFonts w:ascii="Arial" w:eastAsia="Times New Roman" w:hAnsi="Arial" w:cs="Arial"/>
                <w:lang w:val="en-US"/>
              </w:rPr>
              <w:noBreakHyphen/>
              <w:t>strength low</w:t>
            </w:r>
            <w:r w:rsidRPr="00895DC4">
              <w:rPr>
                <w:rFonts w:ascii="Arial" w:eastAsia="Times New Roman" w:hAnsi="Arial" w:cs="Arial"/>
                <w:lang w:val="en-US"/>
              </w:rPr>
              <w:noBreakHyphen/>
              <w:t>alloy steel plate not further manufactured than hot</w:t>
            </w:r>
            <w:r w:rsidRPr="00895DC4">
              <w:rPr>
                <w:rFonts w:ascii="Arial" w:eastAsia="Times New Roman" w:hAnsi="Arial" w:cs="Arial"/>
                <w:lang w:val="en-US"/>
              </w:rPr>
              <w:noBreakHyphen/>
              <w:t>rolled, heat</w:t>
            </w:r>
            <w:r w:rsidRPr="00895DC4">
              <w:rPr>
                <w:rFonts w:ascii="Arial" w:eastAsia="Times New Roman" w:hAnsi="Arial" w:cs="Arial"/>
                <w:lang w:val="en-US"/>
              </w:rPr>
              <w:noBreakHyphen/>
              <w:t>treated or not, in cut lengths, in widths greater than 72 inches (+/</w:t>
            </w:r>
            <w:r w:rsidRPr="00895DC4">
              <w:rPr>
                <w:rFonts w:ascii="Arial" w:eastAsia="Times New Roman" w:hAnsi="Arial" w:cs="Arial"/>
                <w:lang w:val="en-US"/>
              </w:rPr>
              <w:noBreakHyphen/>
              <w:t xml:space="preserve"> 1829 mm) to 152 inches (+/</w:t>
            </w:r>
            <w:r w:rsidRPr="00895DC4">
              <w:rPr>
                <w:rFonts w:ascii="Arial" w:eastAsia="Times New Roman" w:hAnsi="Arial" w:cs="Arial"/>
                <w:lang w:val="en-US"/>
              </w:rPr>
              <w:noBreakHyphen/>
              <w:t xml:space="preserve"> 3,860 mm) inclusive, and thicknesses from 0.375 inches (+/</w:t>
            </w:r>
            <w:r w:rsidRPr="00895DC4">
              <w:rPr>
                <w:rFonts w:ascii="Arial" w:eastAsia="Times New Roman" w:hAnsi="Arial" w:cs="Arial"/>
                <w:lang w:val="en-US"/>
              </w:rPr>
              <w:noBreakHyphen/>
              <w:t xml:space="preserve"> 9.525 mm) up to and including 4.5 inches (+/</w:t>
            </w:r>
            <w:r w:rsidRPr="00895DC4">
              <w:rPr>
                <w:rFonts w:ascii="Arial" w:eastAsia="Times New Roman" w:hAnsi="Arial" w:cs="Arial"/>
                <w:lang w:val="en-US"/>
              </w:rPr>
              <w:noBreakHyphen/>
              <w:t xml:space="preserve"> 114.3 mm) (with all dimensions being plus or minus allowable tolerances contained in the applicable standards), but excluding:</w:t>
            </w:r>
          </w:p>
          <w:p w14:paraId="50957E9D" w14:textId="77777777" w:rsidR="00895DC4" w:rsidRPr="00895DC4" w:rsidRDefault="00895DC4" w:rsidP="00895DC4">
            <w:pPr>
              <w:pStyle w:val="Paragrafoelenco"/>
              <w:numPr>
                <w:ilvl w:val="0"/>
                <w:numId w:val="1"/>
              </w:numPr>
              <w:spacing w:after="0" w:line="240" w:lineRule="auto"/>
              <w:jc w:val="both"/>
              <w:rPr>
                <w:rFonts w:ascii="Arial" w:eastAsia="Times New Roman" w:hAnsi="Arial" w:cs="Arial"/>
              </w:rPr>
            </w:pPr>
            <w:proofErr w:type="spellStart"/>
            <w:r w:rsidRPr="00895DC4">
              <w:rPr>
                <w:rFonts w:ascii="Arial" w:eastAsia="Times New Roman" w:hAnsi="Arial" w:cs="Arial"/>
              </w:rPr>
              <w:t>plate</w:t>
            </w:r>
            <w:proofErr w:type="spellEnd"/>
            <w:r w:rsidRPr="00895DC4">
              <w:rPr>
                <w:rFonts w:ascii="Arial" w:eastAsia="Times New Roman" w:hAnsi="Arial" w:cs="Arial"/>
              </w:rPr>
              <w:t xml:space="preserve"> in coil </w:t>
            </w:r>
            <w:proofErr w:type="spellStart"/>
            <w:r w:rsidRPr="00895DC4">
              <w:rPr>
                <w:rFonts w:ascii="Arial" w:eastAsia="Times New Roman" w:hAnsi="Arial" w:cs="Arial"/>
              </w:rPr>
              <w:t>form</w:t>
            </w:r>
            <w:proofErr w:type="spellEnd"/>
            <w:r w:rsidRPr="00895DC4">
              <w:rPr>
                <w:rFonts w:ascii="Arial" w:eastAsia="Times New Roman" w:hAnsi="Arial" w:cs="Arial"/>
              </w:rPr>
              <w:t xml:space="preserve">, </w:t>
            </w:r>
          </w:p>
          <w:p w14:paraId="12272455" w14:textId="77777777" w:rsidR="00895DC4" w:rsidRPr="00895DC4" w:rsidRDefault="00895DC4" w:rsidP="00895DC4">
            <w:pPr>
              <w:pStyle w:val="Paragrafoelenco"/>
              <w:numPr>
                <w:ilvl w:val="0"/>
                <w:numId w:val="1"/>
              </w:numPr>
              <w:spacing w:after="0" w:line="240" w:lineRule="auto"/>
              <w:jc w:val="both"/>
              <w:rPr>
                <w:rFonts w:ascii="Arial" w:eastAsia="Times New Roman" w:hAnsi="Arial" w:cs="Arial"/>
                <w:lang w:val="en-US"/>
              </w:rPr>
            </w:pPr>
            <w:r w:rsidRPr="00895DC4">
              <w:rPr>
                <w:rFonts w:ascii="Arial" w:eastAsia="Times New Roman" w:hAnsi="Arial" w:cs="Arial"/>
                <w:lang w:val="en-US"/>
              </w:rPr>
              <w:t xml:space="preserve">plate having a rolled, raised figure at regular intervals on the surface (also known as floor plate), and </w:t>
            </w:r>
          </w:p>
          <w:p w14:paraId="02A98C73" w14:textId="77777777" w:rsidR="00895DC4" w:rsidRPr="00895DC4" w:rsidRDefault="00895DC4" w:rsidP="00895DC4">
            <w:pPr>
              <w:pStyle w:val="Paragrafoelenco"/>
              <w:numPr>
                <w:ilvl w:val="0"/>
                <w:numId w:val="1"/>
              </w:numPr>
              <w:spacing w:after="0" w:line="240" w:lineRule="auto"/>
              <w:jc w:val="both"/>
              <w:rPr>
                <w:rFonts w:ascii="Arial" w:eastAsia="Times New Roman" w:hAnsi="Arial" w:cs="Arial"/>
                <w:lang w:val="en-US"/>
              </w:rPr>
            </w:pPr>
            <w:r w:rsidRPr="00895DC4">
              <w:rPr>
                <w:rFonts w:ascii="Arial" w:eastAsia="Times New Roman" w:hAnsi="Arial" w:cs="Arial"/>
                <w:lang w:val="en-US"/>
              </w:rPr>
              <w:t>plate originating in or exported from the Republic of Korea which is covered by the Tribunal’s Finding in NQ</w:t>
            </w:r>
            <w:r w:rsidRPr="00895DC4">
              <w:rPr>
                <w:rFonts w:ascii="Arial" w:eastAsia="Times New Roman" w:hAnsi="Arial" w:cs="Arial"/>
                <w:lang w:val="en-US"/>
              </w:rPr>
              <w:noBreakHyphen/>
              <w:t>2013</w:t>
            </w:r>
            <w:r w:rsidRPr="00895DC4">
              <w:rPr>
                <w:rFonts w:ascii="Arial" w:eastAsia="Times New Roman" w:hAnsi="Arial" w:cs="Arial"/>
                <w:lang w:val="en-US"/>
              </w:rPr>
              <w:noBreakHyphen/>
              <w:t xml:space="preserve">005. </w:t>
            </w:r>
          </w:p>
          <w:p w14:paraId="3D7DDAC4" w14:textId="77777777" w:rsidR="00895DC4" w:rsidRPr="00895DC4" w:rsidRDefault="00895DC4" w:rsidP="006F0CEC">
            <w:pPr>
              <w:spacing w:after="0" w:line="240" w:lineRule="auto"/>
              <w:jc w:val="both"/>
              <w:rPr>
                <w:rFonts w:ascii="Arial" w:eastAsia="Times New Roman" w:hAnsi="Arial" w:cs="Arial"/>
                <w:lang w:val="en-US"/>
              </w:rPr>
            </w:pPr>
            <w:r w:rsidRPr="00895DC4">
              <w:rPr>
                <w:rFonts w:ascii="Arial" w:eastAsia="Times New Roman" w:hAnsi="Arial" w:cs="Arial"/>
                <w:lang w:val="en-US"/>
              </w:rPr>
              <w:t>For greater certainty, the subject goods include steel plate which contains alloys greater than required by recognized industry standards, provided the steel does not meet recognized industry standards for an alloy</w:t>
            </w:r>
            <w:r w:rsidRPr="00895DC4">
              <w:rPr>
                <w:rFonts w:ascii="Arial" w:eastAsia="Times New Roman" w:hAnsi="Arial" w:cs="Arial"/>
                <w:lang w:val="en-US"/>
              </w:rPr>
              <w:noBreakHyphen/>
              <w:t>grade steel plate.</w:t>
            </w:r>
          </w:p>
          <w:p w14:paraId="203E5385" w14:textId="77777777" w:rsidR="00895DC4" w:rsidRPr="00895DC4" w:rsidRDefault="00895DC4" w:rsidP="006F0CEC">
            <w:pPr>
              <w:spacing w:after="0" w:line="240" w:lineRule="auto"/>
              <w:jc w:val="both"/>
              <w:rPr>
                <w:rFonts w:ascii="Arial" w:eastAsia="Times New Roman" w:hAnsi="Arial" w:cs="Arial"/>
                <w:lang w:val="en-US"/>
              </w:rPr>
            </w:pPr>
            <w:r w:rsidRPr="00895DC4">
              <w:rPr>
                <w:rFonts w:ascii="Arial" w:eastAsia="Times New Roman" w:hAnsi="Arial" w:cs="Arial"/>
                <w:lang w:val="en-US"/>
              </w:rPr>
              <w:t>The allegedly dumped goods are normally classified under the following tariff classification numbers, according to Canadian statistics:</w:t>
            </w:r>
          </w:p>
          <w:p w14:paraId="1216D648" w14:textId="77777777" w:rsidR="00895DC4" w:rsidRPr="00895DC4" w:rsidRDefault="00895DC4" w:rsidP="006F0CEC">
            <w:pPr>
              <w:spacing w:after="0" w:line="240" w:lineRule="auto"/>
              <w:jc w:val="both"/>
              <w:rPr>
                <w:rFonts w:ascii="Arial" w:eastAsia="Times New Roman" w:hAnsi="Arial" w:cs="Arial"/>
              </w:rPr>
            </w:pPr>
            <w:r w:rsidRPr="00895DC4">
              <w:rPr>
                <w:rFonts w:ascii="Arial" w:eastAsia="Times New Roman" w:hAnsi="Arial" w:cs="Arial"/>
              </w:rPr>
              <w:t>7208.51.00.10, 7208.51.00.93, 7208.51.00.94, 7208.51.00.95, 7208.52.00.10, 7208.52.00.93, 7208.52.00.96,</w:t>
            </w:r>
          </w:p>
        </w:tc>
      </w:tr>
    </w:tbl>
    <w:p w14:paraId="2BED8795" w14:textId="77777777" w:rsidR="00895DC4" w:rsidRPr="00895DC4" w:rsidRDefault="00895DC4" w:rsidP="00895DC4">
      <w:pPr>
        <w:spacing w:after="0" w:line="240" w:lineRule="auto"/>
        <w:jc w:val="both"/>
        <w:rPr>
          <w:rFonts w:ascii="Arial" w:eastAsia="Times New Roman" w:hAnsi="Arial" w:cs="Arial"/>
          <w:b/>
          <w:bCs/>
        </w:rPr>
      </w:pPr>
    </w:p>
    <w:p w14:paraId="52772410" w14:textId="77777777" w:rsidR="00895DC4" w:rsidRPr="00895DC4" w:rsidRDefault="00895DC4" w:rsidP="00895DC4">
      <w:pPr>
        <w:spacing w:after="0" w:line="240" w:lineRule="auto"/>
        <w:jc w:val="both"/>
        <w:rPr>
          <w:rFonts w:ascii="Arial" w:eastAsia="Times New Roman" w:hAnsi="Arial" w:cs="Arial"/>
          <w:lang w:val="en-US"/>
        </w:rPr>
      </w:pPr>
      <w:r w:rsidRPr="00895DC4">
        <w:rPr>
          <w:rFonts w:ascii="Arial" w:eastAsia="Times New Roman" w:hAnsi="Arial" w:cs="Arial"/>
          <w:lang w:val="en-US"/>
        </w:rPr>
        <w:t xml:space="preserve">We would appreciate if you could transmit this information to producers/associations potentially affected by this investigation, who may also contact us directly at </w:t>
      </w:r>
      <w:hyperlink r:id="rId5" w:history="1">
        <w:r w:rsidRPr="00895DC4">
          <w:rPr>
            <w:rFonts w:ascii="Arial" w:eastAsia="Times New Roman" w:hAnsi="Arial" w:cs="Arial"/>
            <w:lang w:val="en-US"/>
          </w:rPr>
          <w:t>Trade.Defence.Third.Countries@ec.europa.eu</w:t>
        </w:r>
      </w:hyperlink>
    </w:p>
    <w:p w14:paraId="3FAF57D9" w14:textId="77777777" w:rsidR="00895DC4" w:rsidRPr="00895DC4" w:rsidRDefault="00895DC4" w:rsidP="00895DC4">
      <w:pPr>
        <w:spacing w:after="0" w:line="240" w:lineRule="auto"/>
        <w:jc w:val="both"/>
        <w:rPr>
          <w:rFonts w:ascii="Arial" w:eastAsia="Times New Roman" w:hAnsi="Arial" w:cs="Arial"/>
          <w:lang w:val="en-US"/>
        </w:rPr>
      </w:pPr>
      <w:r w:rsidRPr="00895DC4">
        <w:rPr>
          <w:rFonts w:ascii="Arial" w:eastAsia="Times New Roman" w:hAnsi="Arial" w:cs="Arial"/>
          <w:lang w:val="en-US"/>
        </w:rPr>
        <w:t>To keep track of investigations against EU exports please visit our dedicated webpage:</w:t>
      </w:r>
    </w:p>
    <w:p w14:paraId="44C9F819" w14:textId="77777777" w:rsidR="00895DC4" w:rsidRPr="00895DC4" w:rsidRDefault="00895DC4" w:rsidP="00895DC4">
      <w:pPr>
        <w:spacing w:after="0" w:line="240" w:lineRule="auto"/>
        <w:jc w:val="both"/>
        <w:rPr>
          <w:rFonts w:ascii="Arial" w:eastAsia="Times New Roman" w:hAnsi="Arial" w:cs="Arial"/>
          <w:lang w:val="en-US"/>
        </w:rPr>
      </w:pPr>
      <w:hyperlink r:id="rId6" w:history="1">
        <w:r w:rsidRPr="00895DC4">
          <w:rPr>
            <w:rFonts w:ascii="Arial" w:eastAsia="Times New Roman" w:hAnsi="Arial" w:cs="Arial"/>
            <w:lang w:val="en-US"/>
          </w:rPr>
          <w:t>http://ec.europa.eu/trade/policy/accessing-markets/trade-defence/actions-against-exports-from-the-eu/</w:t>
        </w:r>
      </w:hyperlink>
    </w:p>
    <w:p w14:paraId="6DC522CC" w14:textId="77777777" w:rsidR="00895DC4" w:rsidRPr="00895DC4" w:rsidRDefault="00895DC4">
      <w:pPr>
        <w:rPr>
          <w:rFonts w:ascii="Arial" w:hAnsi="Arial" w:cs="Arial"/>
          <w:lang w:val="en-US"/>
        </w:rPr>
      </w:pPr>
    </w:p>
    <w:sectPr w:rsidR="00895DC4" w:rsidRPr="00895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3117"/>
    <w:multiLevelType w:val="hybridMultilevel"/>
    <w:tmpl w:val="16983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C4"/>
    <w:rsid w:val="00895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C0BE"/>
  <w15:chartTrackingRefBased/>
  <w15:docId w15:val="{E1B25FA2-FFBA-4494-AE49-1C9F92BA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95DC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5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trade/policy/accessing-markets/trade-defence/actions-against-exports-from-the-eu/" TargetMode="External"/><Relationship Id="rId5" Type="http://schemas.openxmlformats.org/officeDocument/2006/relationships/hyperlink" Target="mailto:Trade.Defence.Third.Countries@ec.europa.eu"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2020-06-23T08:46:00Z</dcterms:created>
  <dcterms:modified xsi:type="dcterms:W3CDTF">2020-06-23T08:48:00Z</dcterms:modified>
</cp:coreProperties>
</file>