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Look w:val="01E0" w:firstRow="1" w:lastRow="1" w:firstColumn="1" w:lastColumn="1" w:noHBand="0" w:noVBand="0"/>
      </w:tblPr>
      <w:tblGrid>
        <w:gridCol w:w="2931"/>
        <w:gridCol w:w="2931"/>
        <w:gridCol w:w="2927"/>
      </w:tblGrid>
      <w:tr>
        <w:trPr>
          <w:trHeight w:val="317"/>
        </w:trPr>
        <w:tc>
          <w:tcPr>
            <w:tcW w:w="2931" w:type="dxa"/>
            <w:tcBorders>
              <w:top w:val="nil"/>
              <w:left w:val="nil"/>
              <w:bottom w:val="single" w:sz="4" w:space="0" w:color="660066"/>
              <w:right w:val="nil"/>
            </w:tcBorders>
            <w:vAlign w:val="center"/>
            <w:hideMark/>
          </w:tcPr>
          <w:p>
            <w:r>
              <w:t xml:space="preserve">16 July 2023 PAZAR</w:t>
            </w:r>
          </w:p>
        </w:tc>
        <w:tc>
          <w:tcPr>
            <w:tcW w:w="2931" w:type="dxa"/>
            <w:tcBorders>
              <w:top w:val="nil"/>
              <w:left w:val="nil"/>
              <w:bottom w:val="single" w:sz="4" w:space="0" w:color="660066"/>
              <w:right w:val="nil"/>
            </w:tcBorders>
            <w:vAlign w:val="center"/>
            <w:hideMark/>
          </w:tcPr>
          <w:p>
            <w:pPr>
              <w:pStyle w:val="P68B1DB1-Normal1"/>
            </w:pPr>
            <w:r>
              <w:t xml:space="preserve">Official Gazette</w:t>
            </w:r>
          </w:p>
        </w:tc>
        <w:tc>
          <w:tcPr>
            <w:tcW w:w="2927" w:type="dxa"/>
            <w:tcBorders>
              <w:top w:val="nil"/>
              <w:left w:val="nil"/>
              <w:bottom w:val="single" w:sz="4" w:space="0" w:color="660066"/>
              <w:right w:val="nil"/>
            </w:tcBorders>
            <w:vAlign w:val="center"/>
            <w:hideMark/>
          </w:tcPr>
          <w:p>
            <w:r>
              <w:t xml:space="preserve">Issue: 32250</w:t>
            </w:r>
          </w:p>
        </w:tc>
      </w:tr>
      <w:tr>
        <w:trPr>
          <w:trHeight w:val="480"/>
        </w:trPr>
        <w:tc>
          <w:tcPr>
            <w:tcW w:w="8789" w:type="dxa"/>
            <w:gridSpan w:val="3"/>
            <w:vAlign w:val="center"/>
            <w:hideMark/>
          </w:tcPr>
          <w:p>
            <w:pPr>
              <w:pStyle w:val="P68B1DB1-Normal1"/>
            </w:pPr>
            <w:r>
              <w:t>NOTIFICATION</w:t>
            </w:r>
          </w:p>
        </w:tc>
      </w:tr>
      <w:tr>
        <w:trPr>
          <w:trHeight w:val="480"/>
        </w:trPr>
        <w:tc>
          <w:tcPr>
            <w:tcW w:w="8789" w:type="dxa"/>
            <w:gridSpan w:val="3"/>
            <w:vAlign w:val="center"/>
            <w:hideMark/>
          </w:tcPr>
          <w:p>
            <w:r>
              <w:t xml:space="preserve">From the Ministry of Trade:</w:t>
            </w:r>
          </w:p>
          <w:p>
            <w:r>
              <w:t xml:space="preserve">REGULATION ON PROTECTION PREVENTION IN IMPORTS</w:t>
            </w:r>
          </w:p>
          <w:p>
            <w:r>
              <w:t xml:space="preserve">(COMPLIANCE NO: 2023/4)</w:t>
            </w:r>
          </w:p>
          <w:p>
            <w:pPr>
              <w:pStyle w:val="P68B1DB1-Normal1"/>
            </w:pPr>
            <w:r>
              <w:t xml:space="preserve">Purpose and scope</w:t>
            </w:r>
          </w:p>
          <w:p>
            <w:r>
              <w:t xml:space="preserve">Article 1 -</w:t>
            </w:r>
            <w:r>
              <w:rPr>
                <w:b/>
              </w:rPr>
              <w:t>(</w:t>
            </w:r>
            <w:r>
              <w:t xml:space="preserve"> 1) The aim of this Implementing Regulation is for importing toothbrushes classified under the definition of 'others' in the Customs Tariff Statistics Statistics Statistics Statistical Statistics Statistical Statistics in the Customs Tariff Statistics Statistical Position of 9603.21.00.19.</w:t>
            </w:r>
          </w:p>
          <w:p>
            <w:pPr>
              <w:pStyle w:val="P68B1DB1-Normal1"/>
            </w:pPr>
            <w:r>
              <w:t xml:space="preserve">Preliminary examination</w:t>
            </w:r>
          </w:p>
          <w:p>
            <w:r>
              <w:rPr>
                <w:b/>
              </w:rPr>
              <w:t xml:space="preserve">Article 2 -</w:t>
            </w:r>
            <w:r>
              <w:t xml:space="preserve"> (1) During the preliminary examination conducted on the basis of the application in question, the current prevention measure has been found to have decreased some of the market share of imports and imports, with a certain amount of recovery in the economic indicators of domestic producers, but indicators on domestic sales, production, productivity and stock have been deteriorated in recent periods.</w:t>
            </w:r>
          </w:p>
          <w:p>
            <w:pPr>
              <w:pStyle w:val="P68B1DB1-Normal1"/>
            </w:pPr>
            <w:r>
              <w:t>Decision</w:t>
            </w:r>
          </w:p>
          <w:p>
            <w:r>
              <w:t xml:space="preserve">Article 3 -</w:t>
            </w:r>
            <w:r>
              <w:rPr>
                <w:b/>
              </w:rPr>
              <w:t>(</w:t>
            </w:r>
            <w:r>
              <w:t xml:space="preserve"> 1) The Board of Evaluating the measures for Protection in imports has unanimously decided that the members who participated in the meeting of the conservation measures under the provisions of the Imports Protection Protection Regulation (Regulation) Regulation on Protection of Imports published in Official Gazette No 25486 of 8.6.2004 of the imports subject matter shall be unanimated.</w:t>
            </w:r>
          </w:p>
          <w:p>
            <w:pPr>
              <w:pStyle w:val="P68B1DB1-Normal1"/>
            </w:pPr>
            <w:r>
              <w:t xml:space="preserve">Conducting an investigation</w:t>
            </w:r>
          </w:p>
          <w:p>
            <w:r>
              <w:t xml:space="preserve">Article 4</w:t>
            </w:r>
            <w:r>
              <w:rPr>
                <w:b/>
              </w:rPr>
              <w:t>-</w:t>
            </w:r>
            <w:r>
              <w:t xml:space="preserve"> (1) The investigation shall be conducted by the General Directorate under the relevant provisions of the Regulation. All correspondence related to the investigation shall be conducted with the competent authority listed below:</w:t>
            </w:r>
          </w:p>
          <w:p>
            <w:r>
              <w:t xml:space="preserve">Turkish Ministry of Trade</w:t>
            </w:r>
          </w:p>
          <w:p>
            <w:r>
              <w:t xml:space="preserve">Directorate-General for imports</w:t>
            </w:r>
          </w:p>
          <w:p>
            <w:r>
              <w:t xml:space="preserve">Department of Protections and Surveillance</w:t>
            </w:r>
          </w:p>
          <w:p>
            <w:r>
              <w:t xml:space="preserve">Sötöz Mah. 2176. RP No:63 06530 Çankaya/ANKARA</w:t>
            </w:r>
          </w:p>
          <w:p>
            <w:r>
              <w:t xml:space="preserve">Tel: +90 312 204 9970, 9942, 9952, 9293 Fax: +90 312 204 86 33</w:t>
            </w:r>
          </w:p>
          <w:p>
            <w:r>
              <w:t xml:space="preserve">e-net: </w:t>
            </w:r>
            <w:r>
              <w:rPr>
                <w:u w:val="single"/>
              </w:rPr>
              <w:t xml:space="preserve">http://www.ticaret.gov.tr </w:t>
            </w:r>
            <w:r>
              <w:t xml:space="preserve"> e-mail: </w:t>
            </w:r>
            <w:r>
              <w:rPr>
                <w:u w:val="single"/>
              </w:rPr>
              <w:t>korunma@ticaret.gov.tr</w:t>
            </w:r>
          </w:p>
          <w:p>
            <w:r>
              <w:t xml:space="preserve">(2) In the investigation, "who wishes to be a party to companies, institutions and organisations established in Turkey" sends their answers to the questionnaires and their official opinions from their official cap addresses to the address of the Ministry below.</w:t>
            </w:r>
          </w:p>
          <w:p>
            <w:r>
              <w:t xml:space="preserve">Ministry of Trade cap address: </w:t>
            </w:r>
            <w:r>
              <w:rPr>
                <w:u w:val="single"/>
              </w:rPr>
              <w:t>ticaretbakanligi@hs01.kep.tr</w:t>
            </w:r>
          </w:p>
          <w:p>
            <w:r>
              <w:t xml:space="preserve">(3) In the investigation 'who wishes to be a party to companies, institutions and organisations established abroad', send their answers to the questionnaires and their official opinions to the Ministry's email address below.</w:t>
            </w:r>
          </w:p>
          <w:p>
            <w:r>
              <w:t xml:space="preserve">General Directorate EBYS e-mail address: </w:t>
            </w:r>
            <w:r>
              <w:rPr>
                <w:u w:val="single"/>
              </w:rPr>
              <w:t>korunma@ticaret.gov.tr</w:t>
            </w:r>
          </w:p>
          <w:p>
            <w:pPr>
              <w:pStyle w:val="P68B1DB1-Normal1"/>
            </w:pPr>
            <w:r>
              <w:t xml:space="preserve">Parties concerned</w:t>
            </w:r>
          </w:p>
          <w:p>
            <w:r>
              <w:t xml:space="preserve">Article 5 -</w:t>
            </w:r>
            <w:r>
              <w:rPr>
                <w:b/>
              </w:rPr>
              <w:t>(</w:t>
            </w:r>
            <w:r>
              <w:t xml:space="preserve"> 1) Any person who fills the relevant question form referred to in Article 6(1) within thirty days of publication of this Implementing Regulation and sends it to the General Directorate within thirty days of publication of this Implementing Regulation shall be regarded as the 'interesting party' under the investigation.</w:t>
            </w:r>
          </w:p>
          <w:p>
            <w:pPr>
              <w:pStyle w:val="P68B1DB1-Normal1"/>
            </w:pPr>
            <w:r>
              <w:t xml:space="preserve">Presentation of question forms, opinions and information</w:t>
            </w:r>
          </w:p>
          <w:p>
            <w:r>
              <w:t xml:space="preserve">Article 6 -</w:t>
            </w:r>
            <w:r>
              <w:rPr>
                <w:b/>
              </w:rPr>
              <w:t>(</w:t>
            </w:r>
            <w:r>
              <w:t xml:space="preserve"> 1) The questionnaires on the investigation and the non-secret summary of the application are included in the Ministry's website </w:t>
            </w:r>
            <w:r>
              <w:rPr>
                <w:u w:val="single"/>
              </w:rPr>
              <w:t>(http://www.ticaret.gov.tr)</w:t>
            </w:r>
            <w:r>
              <w:t xml:space="preserve"> on the link to the 'Commit Policy Defence Tools' page under the title "Trade Policy Defence Tools" and the subject shall be downloaded from the page of the investigation.</w:t>
            </w:r>
          </w:p>
          <w:p>
            <w:r>
              <w:t xml:space="preserve">(2) The parties concerned shall fill out the questionnaire within thirty days of publication of this Implementing Regulation and forward it to the General Directorate. The General Directorate may be assisted by the concerned parties in respect of filling out questions forms.</w:t>
            </w:r>
          </w:p>
          <w:p>
            <w:r>
              <w:t xml:space="preserve">(3) Written and oral communication regarding the investigation shall be conducted in Turkish. The relevant parties should submit their answers to the questionnaire and any information, documents, opinions and requests other than these answers in Turkish. The answer, information, documents, opinions and requests presented in a language other than Turkish shall not be taken into account.</w:t>
            </w:r>
          </w:p>
          <w:p>
            <w:r>
              <w:t xml:space="preserve">(4) During the investigation, any information, documents and opinion provided under Article 6(3) of the Regulation shall be provided with a non-secret summary. The non-secret summary shall be in the details that would allow the understanding of the original information to a reasonable extent. In exceptional cases, the concerned parties may indicate that this information is not summarised. In exceptional cases such as this, the reasons for the fact that information is not summarised should be specified.</w:t>
            </w:r>
          </w:p>
          <w:p>
            <w:r>
              <w:t xml:space="preserve">(5) If the General Directorate deems necessary, he may request additional information and documents from the concerned.</w:t>
            </w:r>
          </w:p>
          <w:p>
            <w:pPr>
              <w:pStyle w:val="P68B1DB1-Normal1"/>
            </w:pPr>
            <w:r>
              <w:t xml:space="preserve">Rest of the relevant parties</w:t>
            </w:r>
          </w:p>
          <w:p>
            <w:r>
              <w:rPr>
                <w:b/>
              </w:rPr>
              <w:t xml:space="preserve">Article 7 -</w:t>
            </w:r>
            <w:r>
              <w:t xml:space="preserve"> (1) The parties concerned shall communicate to the General Directorate General, if applicable, by stating the requests for an oral hearing in the relevant Party's question form. If requested, the location and date of the hearing meeting to be held and other announcements related to the investigation shall be announced on the website of the Ministry as referred to in Article 6(1).</w:t>
            </w:r>
          </w:p>
          <w:p>
            <w:pPr>
              <w:pStyle w:val="P68B1DB1-Normal1"/>
            </w:pPr>
            <w:r>
              <w:t>Confidentiality</w:t>
            </w:r>
          </w:p>
          <w:p>
            <w:r>
              <w:t>Article</w:t>
            </w:r>
            <w:r>
              <w:rPr>
                <w:b/>
              </w:rPr>
              <w:t xml:space="preserve">8 -</w:t>
            </w:r>
            <w:r>
              <w:t xml:space="preserve"> (1) The information provided by the parties concerned during the investigation shall be considered confidential within the framework of the provisions referred to in Article 6 of the Regulation.</w:t>
            </w:r>
          </w:p>
          <w:p>
            <w:pPr>
              <w:pStyle w:val="P68B1DB1-Normal1"/>
            </w:pPr>
            <w:r>
              <w:t xml:space="preserve">Failure to provide information or incorrect information</w:t>
            </w:r>
          </w:p>
          <w:p>
            <w:r>
              <w:rPr>
                <w:b/>
              </w:rPr>
              <w:t xml:space="preserve">Article 9 -</w:t>
            </w:r>
            <w:r>
              <w:t xml:space="preserve"> (1) In accordance with Article 4 of the Regulation, the investigation shall be concluded on the available data if the information requested by the General Directorate can not be provided within the specified time limit or that the investigation has been prevented. If the information provided by the General Directorate is found to be incorrect by the relevant persons, this information shall not be taken into account.</w:t>
            </w:r>
          </w:p>
          <w:p>
            <w:pPr>
              <w:pStyle w:val="P68B1DB1-Normal1"/>
            </w:pPr>
            <w:r>
              <w:t xml:space="preserve">Duration of the investigation</w:t>
            </w:r>
          </w:p>
          <w:p>
            <w:r>
              <w:rPr>
                <w:b/>
              </w:rPr>
              <w:t xml:space="preserve">Article 10 -</w:t>
            </w:r>
            <w:r>
              <w:t xml:space="preserve"> (1) The investigation shall be conducted by the General Directorate and within nine months. Where necessary, this period may be extended for six months.</w:t>
            </w:r>
          </w:p>
          <w:p>
            <w:pPr>
              <w:pStyle w:val="P68B1DB1-Normal1"/>
            </w:pPr>
            <w:r>
              <w:t xml:space="preserve">Entry into force</w:t>
            </w:r>
          </w:p>
          <w:p>
            <w:r>
              <w:rPr>
                <w:b/>
              </w:rPr>
              <w:t xml:space="preserve">Article 11 -</w:t>
            </w:r>
            <w:r>
              <w:t xml:space="preserve"> (1) This Implementing Regulation shall enter into force on the date of its publication.</w:t>
            </w:r>
          </w:p>
          <w:p>
            <w:pPr>
              <w:pStyle w:val="P68B1DB1-Normal1"/>
            </w:pPr>
            <w:r>
              <w:t>Execution</w:t>
            </w:r>
          </w:p>
          <w:p>
            <w:r>
              <w:rPr>
                <w:b/>
              </w:rPr>
              <w:t xml:space="preserve">Article 12 -</w:t>
            </w:r>
            <w:r>
              <w:t xml:space="preserve"> (1) This Implementing Regulation shall be implemented by the Minister of Trade.</w:t>
            </w:r>
          </w:p>
          <w:p>
            <w:r>
              <w:t xml:space="preserve"> </w:t>
            </w:r>
          </w:p>
        </w:tc>
      </w:tr>
    </w:tbl>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F497D"/>
    <w:rsid w:val="003D375A"/>
    <w:rsid w:val="008F497D"/>
    <w:rsid w:val="00F10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704FE-9B5D-43D0-8C4A-A73F2715D74C}"/>
  <w:updateFields w:val="tru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after="160" w:line="259" w:lineRule="auto"/>
      </w:pPr>
    </w:pPrDefault>
    <w:rPrDefault>
      <w:rPr>
        <w:rFonts w:asciiTheme="minorHAnsi" w:hAnsiTheme="minorHAnsi" w:cstheme="minorBidi" w:eastAsiaTheme="minorHAnsi"/>
        <w:sz w:val="22"/>
        <w:lang w:val="en"/>
      </w:rPr>
    </w:r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68B1DB1-Normal1">
    <w:name w:val="P68B1DB1-Normal1"/>
    <w:basedOn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4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ATASOY Deniz (EEAS-ANKARA)</dc:creator>
  <cp:keywords/>
  <dc:description/>
  <cp:lastModifiedBy>ATASOY Deniz (EEAS-ANKARA)</cp:lastModifiedBy>
  <cp:revision>1</cp:revision>
  <dcterms:created xsi:type="dcterms:W3CDTF">2023-07-17T11:44:00Z</dcterms:created>
  <dcterms:modified xsi:type="dcterms:W3CDTF">2023-07-17T11:45:00Z</dcterms:modified>
</cp:coreProperties>
</file>