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2EE4" w14:textId="77777777" w:rsidR="00A91FAA" w:rsidRDefault="008B196A">
      <w:pPr>
        <w:pStyle w:val="Heading1"/>
        <w:jc w:val="center"/>
      </w:pPr>
      <w:r>
        <w:t>NOTICE OF INITIATION</w:t>
      </w:r>
    </w:p>
    <w:p w14:paraId="7F86AC0D" w14:textId="77777777" w:rsidR="00A91FAA" w:rsidRDefault="008B196A">
      <w:pPr>
        <w:pStyle w:val="Heading1"/>
        <w:jc w:val="center"/>
      </w:pPr>
      <w:r>
        <w:t>Safeguard measure on certain steel products</w:t>
      </w:r>
    </w:p>
    <w:p w14:paraId="6C837D02" w14:textId="77777777" w:rsidR="00A91FAA" w:rsidRDefault="008B196A">
      <w:pPr>
        <w:pStyle w:val="Heading1"/>
        <w:jc w:val="center"/>
      </w:pPr>
      <w:r>
        <w:t>Initiation of an Extension Review</w:t>
      </w:r>
    </w:p>
    <w:p w14:paraId="0B5FB389" w14:textId="77777777" w:rsidR="00A91FAA" w:rsidRDefault="008B196A">
      <w:pPr>
        <w:pStyle w:val="Heading1"/>
        <w:jc w:val="center"/>
      </w:pPr>
      <w:r>
        <w:t>Review No. SE0041</w:t>
      </w:r>
    </w:p>
    <w:p w14:paraId="71774158" w14:textId="77777777" w:rsidR="00A91FAA" w:rsidRDefault="008B196A">
      <w:pPr>
        <w:jc w:val="left"/>
      </w:pPr>
      <w:r>
        <w:rPr>
          <w:rFonts w:eastAsia="Times New Roman"/>
          <w:color w:val="000000"/>
          <w:lang w:eastAsia="en-GB"/>
        </w:rPr>
        <w:t xml:space="preserve">The Trade Remedies Authority (the TRA) makes the following Notice of Initiation under regulation 35(5)(a) of The </w:t>
      </w:r>
      <w:r>
        <w:rPr>
          <w:rFonts w:eastAsia="Times New Roman"/>
          <w:color w:val="000000"/>
          <w:lang w:eastAsia="en-GB"/>
        </w:rPr>
        <w:t>Trade Remedies (Increase in Imports Causing Serious Injury to UK Producers) (EU Exit) Regulations 2019</w:t>
      </w:r>
      <w:r>
        <w:rPr>
          <w:rStyle w:val="FootnoteReference"/>
          <w:rFonts w:eastAsia="Times New Roman"/>
          <w:color w:val="000000"/>
          <w:lang w:eastAsia="en-GB"/>
        </w:rPr>
        <w:footnoteReference w:id="1"/>
      </w:r>
      <w:r>
        <w:rPr>
          <w:rFonts w:eastAsia="Times New Roman"/>
          <w:color w:val="000000"/>
          <w:lang w:eastAsia="en-GB"/>
        </w:rPr>
        <w:t xml:space="preserve"> (the Regulations) to initiate an extension review</w:t>
      </w:r>
      <w:r>
        <w:t xml:space="preserve"> </w:t>
      </w:r>
      <w:r>
        <w:rPr>
          <w:rFonts w:eastAsia="Times New Roman"/>
          <w:color w:val="000000"/>
          <w:lang w:eastAsia="en-GB"/>
        </w:rPr>
        <w:t>into</w:t>
      </w:r>
      <w:r>
        <w:t xml:space="preserve"> certain steel products.</w:t>
      </w:r>
    </w:p>
    <w:p w14:paraId="0712BE1D" w14:textId="77777777" w:rsidR="00A91FAA" w:rsidRDefault="008B196A">
      <w:pPr>
        <w:autoSpaceDE w:val="0"/>
        <w:jc w:val="left"/>
      </w:pPr>
      <w:r>
        <w:t>This review concerns whether the expiry of a definitive</w:t>
      </w:r>
      <w:r>
        <w:t xml:space="preserve"> safeguarding remedy would likely result in a continuation or recurrence of serious injury to UK producers of the relevant goods, following the measure imposed as a result of the reconsideration of the transition review TF0006 from 1 July 2022, the SM0016 </w:t>
      </w:r>
      <w:r>
        <w:t>tariff rate quota review from 1 July 2022, the SM0019 tariff rate quota review from 1 July 2022, and TQ0030 tariff rate quota review from 30 June 2023.  Details of the measure imposed are set out in:</w:t>
      </w:r>
    </w:p>
    <w:p w14:paraId="75141CCC" w14:textId="77777777" w:rsidR="00A91FAA" w:rsidRDefault="008B196A">
      <w:pPr>
        <w:pStyle w:val="ListParagraph"/>
        <w:numPr>
          <w:ilvl w:val="0"/>
          <w:numId w:val="1"/>
        </w:numPr>
        <w:contextualSpacing w:val="0"/>
        <w:jc w:val="left"/>
      </w:pPr>
      <w:hyperlink r:id="rId7" w:history="1">
        <w:r>
          <w:rPr>
            <w:rStyle w:val="Hyperlink"/>
          </w:rPr>
          <w:t>Trade remedies notice 2022/01: safeguard measure: tariff-rate quota on steel goods</w:t>
        </w:r>
      </w:hyperlink>
      <w:r>
        <w:t xml:space="preserve"> </w:t>
      </w:r>
    </w:p>
    <w:p w14:paraId="1FA1BC24" w14:textId="77777777" w:rsidR="00A91FAA" w:rsidRDefault="008B196A">
      <w:pPr>
        <w:pStyle w:val="ListParagraph"/>
        <w:numPr>
          <w:ilvl w:val="0"/>
          <w:numId w:val="1"/>
        </w:numPr>
        <w:contextualSpacing w:val="0"/>
        <w:jc w:val="left"/>
      </w:pPr>
      <w:hyperlink r:id="rId8" w:history="1">
        <w:r>
          <w:rPr>
            <w:rStyle w:val="Hyperlink"/>
          </w:rPr>
          <w:t>Trade remedies notice 2022/02: safeguard measure: tari</w:t>
        </w:r>
        <w:r>
          <w:rPr>
            <w:rStyle w:val="Hyperlink"/>
          </w:rPr>
          <w:t>ff-rate quota on steel goods</w:t>
        </w:r>
      </w:hyperlink>
      <w:r>
        <w:t xml:space="preserve"> </w:t>
      </w:r>
    </w:p>
    <w:p w14:paraId="1ABB78A3" w14:textId="77777777" w:rsidR="00A91FAA" w:rsidRDefault="008B196A">
      <w:pPr>
        <w:pStyle w:val="ListParagraph"/>
        <w:numPr>
          <w:ilvl w:val="0"/>
          <w:numId w:val="1"/>
        </w:numPr>
        <w:contextualSpacing w:val="0"/>
        <w:jc w:val="left"/>
      </w:pPr>
      <w:hyperlink r:id="rId9" w:history="1">
        <w:r>
          <w:rPr>
            <w:rStyle w:val="Hyperlink"/>
          </w:rPr>
          <w:t>Trade Remedies Notice 2023/10: safeguard measure: tariff-rate quota on steel goods - GOV.UK (www.gov.uk)</w:t>
        </w:r>
      </w:hyperlink>
    </w:p>
    <w:p w14:paraId="250FCA9A" w14:textId="77777777" w:rsidR="00A91FAA" w:rsidRDefault="008B196A">
      <w:pPr>
        <w:pStyle w:val="ListParagraph"/>
        <w:numPr>
          <w:ilvl w:val="0"/>
          <w:numId w:val="1"/>
        </w:numPr>
        <w:contextualSpacing w:val="0"/>
        <w:jc w:val="left"/>
      </w:pPr>
      <w:hyperlink r:id="rId10" w:history="1">
        <w:r>
          <w:rPr>
            <w:rStyle w:val="Hyperlink"/>
          </w:rPr>
          <w:t>Trade Remedies Notice 2023/11: safeguard measure: tariff-rate quota on steel goods - GOV.UK (www.gov.uk)</w:t>
        </w:r>
      </w:hyperlink>
    </w:p>
    <w:p w14:paraId="69DC3110" w14:textId="77777777" w:rsidR="00A91FAA" w:rsidRDefault="008B196A">
      <w:pPr>
        <w:jc w:val="left"/>
        <w:rPr>
          <w:color w:val="000000"/>
        </w:rPr>
      </w:pPr>
      <w:r>
        <w:rPr>
          <w:color w:val="000000"/>
        </w:rPr>
        <w:t>The current safeguard measur</w:t>
      </w:r>
      <w:r>
        <w:rPr>
          <w:color w:val="000000"/>
        </w:rPr>
        <w:t xml:space="preserve">e is due to expire on 30 June 2024. </w:t>
      </w:r>
    </w:p>
    <w:p w14:paraId="3F5318B7" w14:textId="77777777" w:rsidR="00A91FAA" w:rsidRDefault="00A91FAA">
      <w:pPr>
        <w:jc w:val="left"/>
        <w:rPr>
          <w:color w:val="000000"/>
        </w:rPr>
      </w:pPr>
    </w:p>
    <w:p w14:paraId="71E7FF84" w14:textId="77777777" w:rsidR="00A91FAA" w:rsidRDefault="008B196A">
      <w:pPr>
        <w:jc w:val="left"/>
      </w:pPr>
      <w:r>
        <w:rPr>
          <w:color w:val="000000"/>
        </w:rPr>
        <w:t xml:space="preserve">The date of initiation </w:t>
      </w:r>
      <w:r>
        <w:t xml:space="preserve">of this review is </w:t>
      </w:r>
      <w:r>
        <w:rPr>
          <w:b/>
          <w:bCs/>
        </w:rPr>
        <w:t>4 September 2023</w:t>
      </w:r>
      <w:r>
        <w:t>.</w:t>
      </w:r>
    </w:p>
    <w:p w14:paraId="6C425F64" w14:textId="77777777" w:rsidR="00A91FAA" w:rsidRDefault="00A91FAA">
      <w:pPr>
        <w:jc w:val="left"/>
        <w:rPr>
          <w:b/>
          <w:iCs/>
          <w:u w:val="single"/>
        </w:rPr>
      </w:pPr>
    </w:p>
    <w:p w14:paraId="495263A8" w14:textId="77777777" w:rsidR="00A91FAA" w:rsidRDefault="008B196A">
      <w:pPr>
        <w:pStyle w:val="Heading1"/>
      </w:pPr>
      <w:r>
        <w:t>INITIATION OF AN EXTENSION REVIEW</w:t>
      </w:r>
    </w:p>
    <w:p w14:paraId="78C60642" w14:textId="77777777" w:rsidR="00A91FAA" w:rsidRDefault="008B196A">
      <w:pPr>
        <w:autoSpaceDE w:val="0"/>
        <w:jc w:val="left"/>
      </w:pPr>
      <w:r>
        <w:t xml:space="preserve">The TRA is initiating this safeguard extension review on its own initiative under regulation 35(2)(b) of the </w:t>
      </w:r>
      <w:r>
        <w:t>Regulations, as there is evidence which may indicate, on an initial basis, that the expiry of the definitive safeguarding remedy would likely result in a continuation or recurrence of serious injury to UK producers of the relevant goods.</w:t>
      </w:r>
    </w:p>
    <w:p w14:paraId="5FEB1733" w14:textId="77777777" w:rsidR="00A91FAA" w:rsidRDefault="00A91FAA">
      <w:pPr>
        <w:pStyle w:val="Heading1"/>
      </w:pPr>
    </w:p>
    <w:p w14:paraId="58E5D7DE" w14:textId="77777777" w:rsidR="00A91FAA" w:rsidRDefault="008B196A">
      <w:pPr>
        <w:pStyle w:val="Heading1"/>
      </w:pPr>
      <w:r>
        <w:lastRenderedPageBreak/>
        <w:t>THE GOODS SUBJECT</w:t>
      </w:r>
      <w:r>
        <w:t xml:space="preserve"> TO REVIEW</w:t>
      </w:r>
    </w:p>
    <w:p w14:paraId="04973F69" w14:textId="77777777" w:rsidR="00A91FAA" w:rsidRDefault="008B196A">
      <w:pPr>
        <w:jc w:val="left"/>
        <w:rPr>
          <w:color w:val="000000"/>
        </w:rPr>
      </w:pPr>
      <w:r>
        <w:rPr>
          <w:color w:val="000000"/>
        </w:rPr>
        <w:t>The goods subject to review are listed in Annex A.</w:t>
      </w:r>
    </w:p>
    <w:p w14:paraId="396857DE" w14:textId="77777777" w:rsidR="00A91FAA" w:rsidRDefault="00A91FAA">
      <w:pPr>
        <w:pStyle w:val="Heading1"/>
      </w:pPr>
    </w:p>
    <w:p w14:paraId="72FFA661" w14:textId="77777777" w:rsidR="00A91FAA" w:rsidRDefault="008B196A">
      <w:pPr>
        <w:pStyle w:val="Heading1"/>
      </w:pPr>
      <w:r>
        <w:t>PERIOD OF INVESTIGATION (POI)</w:t>
      </w:r>
    </w:p>
    <w:p w14:paraId="549EC30F" w14:textId="77777777" w:rsidR="00A91FAA" w:rsidRDefault="008B196A">
      <w:pPr>
        <w:jc w:val="left"/>
      </w:pPr>
      <w:r>
        <w:t xml:space="preserve">The period of investigation for this review is 1 April 2018 to 31 March 2023. </w:t>
      </w:r>
    </w:p>
    <w:p w14:paraId="69ADFEF9" w14:textId="77777777" w:rsidR="00A91FAA" w:rsidRDefault="00A91FAA">
      <w:pPr>
        <w:autoSpaceDE w:val="0"/>
        <w:jc w:val="left"/>
      </w:pPr>
    </w:p>
    <w:p w14:paraId="531B7F35" w14:textId="77777777" w:rsidR="00A91FAA" w:rsidRDefault="008B196A">
      <w:pPr>
        <w:pStyle w:val="Heading1"/>
      </w:pPr>
      <w:r>
        <w:t>ISSUES FOR CONSIDERATION IN THE REVIEW</w:t>
      </w:r>
    </w:p>
    <w:p w14:paraId="60EBEB8B" w14:textId="77777777" w:rsidR="00A91FAA" w:rsidRDefault="008B196A">
      <w:pPr>
        <w:jc w:val="left"/>
      </w:pPr>
      <w:r>
        <w:t>When conducting this extension review, as pe</w:t>
      </w:r>
      <w:r>
        <w:t>r regulation 35(6) of the Regulations the TRA will refer to available information to assess:</w:t>
      </w:r>
    </w:p>
    <w:p w14:paraId="55B824C9" w14:textId="77777777" w:rsidR="00A91FAA" w:rsidRDefault="008B196A">
      <w:pPr>
        <w:pStyle w:val="ListParagraph"/>
        <w:numPr>
          <w:ilvl w:val="0"/>
          <w:numId w:val="2"/>
        </w:numPr>
        <w:autoSpaceDE w:val="0"/>
        <w:ind w:left="714" w:hanging="357"/>
        <w:jc w:val="left"/>
      </w:pPr>
      <w:r>
        <w:t xml:space="preserve">whether the importation of the goods subject to review in increased quantities is likely to </w:t>
      </w:r>
      <w:proofErr w:type="gramStart"/>
      <w:r>
        <w:t>recur;</w:t>
      </w:r>
      <w:proofErr w:type="gramEnd"/>
    </w:p>
    <w:p w14:paraId="14682570" w14:textId="77777777" w:rsidR="00A91FAA" w:rsidRDefault="008B196A">
      <w:pPr>
        <w:pStyle w:val="ListParagraph"/>
        <w:numPr>
          <w:ilvl w:val="0"/>
          <w:numId w:val="2"/>
        </w:numPr>
        <w:autoSpaceDE w:val="0"/>
        <w:ind w:left="714" w:hanging="357"/>
        <w:jc w:val="left"/>
      </w:pPr>
      <w:r>
        <w:t>whether serious injury has been removed, or reduced, in whole or</w:t>
      </w:r>
      <w:r>
        <w:t xml:space="preserve"> in part due to the application of the definitive safeguarding </w:t>
      </w:r>
      <w:proofErr w:type="gramStart"/>
      <w:r>
        <w:t>remedy;</w:t>
      </w:r>
      <w:proofErr w:type="gramEnd"/>
    </w:p>
    <w:p w14:paraId="7A70FB2C" w14:textId="77777777" w:rsidR="00A91FAA" w:rsidRDefault="008B196A">
      <w:pPr>
        <w:pStyle w:val="ListParagraph"/>
        <w:numPr>
          <w:ilvl w:val="0"/>
          <w:numId w:val="2"/>
        </w:numPr>
        <w:autoSpaceDE w:val="0"/>
        <w:ind w:left="714" w:hanging="357"/>
        <w:jc w:val="left"/>
      </w:pPr>
      <w:r>
        <w:t xml:space="preserve">whether it is likely that serious injury will recur if the application of the definitive safeguarding remedy is not </w:t>
      </w:r>
      <w:proofErr w:type="gramStart"/>
      <w:r>
        <w:t>extended;</w:t>
      </w:r>
      <w:proofErr w:type="gramEnd"/>
    </w:p>
    <w:p w14:paraId="5B60BDBF" w14:textId="77777777" w:rsidR="00A91FAA" w:rsidRDefault="008B196A">
      <w:pPr>
        <w:pStyle w:val="ListParagraph"/>
        <w:numPr>
          <w:ilvl w:val="0"/>
          <w:numId w:val="2"/>
        </w:numPr>
        <w:autoSpaceDE w:val="0"/>
        <w:ind w:left="714" w:hanging="357"/>
        <w:jc w:val="left"/>
      </w:pPr>
      <w:r>
        <w:t>whether the circumstances of UK producers, or domestic or o</w:t>
      </w:r>
      <w:r>
        <w:t xml:space="preserve">verseas market conditions, are such that the serious injury caused by the importation of the goods subject to review in increased quantities is likely to </w:t>
      </w:r>
      <w:proofErr w:type="gramStart"/>
      <w:r>
        <w:t>recur;</w:t>
      </w:r>
      <w:proofErr w:type="gramEnd"/>
    </w:p>
    <w:p w14:paraId="295C1E7B" w14:textId="77777777" w:rsidR="00A91FAA" w:rsidRDefault="008B196A">
      <w:pPr>
        <w:pStyle w:val="ListParagraph"/>
        <w:numPr>
          <w:ilvl w:val="0"/>
          <w:numId w:val="2"/>
        </w:numPr>
        <w:autoSpaceDE w:val="0"/>
        <w:ind w:left="714" w:hanging="357"/>
        <w:jc w:val="left"/>
      </w:pPr>
      <w:r>
        <w:t>any adjustments made by UK producers; and</w:t>
      </w:r>
    </w:p>
    <w:p w14:paraId="4E0A2335" w14:textId="77777777" w:rsidR="00A91FAA" w:rsidRDefault="008B196A">
      <w:pPr>
        <w:pStyle w:val="ListParagraph"/>
        <w:numPr>
          <w:ilvl w:val="0"/>
          <w:numId w:val="2"/>
        </w:numPr>
        <w:ind w:left="714" w:hanging="357"/>
        <w:jc w:val="left"/>
      </w:pPr>
      <w:r>
        <w:t>any other factors we consider relevant.</w:t>
      </w:r>
    </w:p>
    <w:p w14:paraId="75F58FE0" w14:textId="77777777" w:rsidR="00A91FAA" w:rsidRDefault="00A91FAA">
      <w:pPr>
        <w:jc w:val="left"/>
      </w:pPr>
    </w:p>
    <w:p w14:paraId="689D8C98" w14:textId="77777777" w:rsidR="00A91FAA" w:rsidRDefault="008B196A">
      <w:pPr>
        <w:jc w:val="left"/>
      </w:pPr>
      <w:r>
        <w:rPr>
          <w:b/>
        </w:rPr>
        <w:t xml:space="preserve">HOW TO TAKE </w:t>
      </w:r>
      <w:r>
        <w:rPr>
          <w:b/>
        </w:rPr>
        <w:t>PART IN THE REVIEW</w:t>
      </w:r>
    </w:p>
    <w:p w14:paraId="7F2785BF" w14:textId="77777777" w:rsidR="00A91FAA" w:rsidRDefault="008B196A">
      <w:pPr>
        <w:jc w:val="left"/>
        <w:rPr>
          <w:b/>
          <w:i/>
          <w:szCs w:val="24"/>
        </w:rPr>
      </w:pPr>
      <w:r>
        <w:rPr>
          <w:b/>
          <w:i/>
          <w:szCs w:val="24"/>
        </w:rPr>
        <w:t>Registration period</w:t>
      </w:r>
    </w:p>
    <w:p w14:paraId="2A42EB1F" w14:textId="77777777" w:rsidR="00A91FAA" w:rsidRDefault="008B196A">
      <w:pPr>
        <w:jc w:val="left"/>
      </w:pPr>
      <w:r>
        <w:rPr>
          <w:rFonts w:eastAsia="Times New Roman"/>
          <w:color w:val="000000"/>
          <w:lang w:eastAsia="en-GB"/>
        </w:rPr>
        <w:t xml:space="preserve">Anyone interested in taking part in the review can register their interest through the </w:t>
      </w:r>
      <w:hyperlink r:id="rId11" w:history="1">
        <w:r>
          <w:rPr>
            <w:rStyle w:val="Hyperlink"/>
            <w:rFonts w:eastAsia="Times New Roman"/>
            <w:lang w:eastAsia="en-GB"/>
          </w:rPr>
          <w:t>Trade Remedies Service</w:t>
        </w:r>
      </w:hyperlink>
      <w:r>
        <w:rPr>
          <w:rFonts w:eastAsia="Times New Roman"/>
          <w:color w:val="000000"/>
          <w:lang w:eastAsia="en-GB"/>
        </w:rPr>
        <w:t xml:space="preserve"> by</w:t>
      </w:r>
      <w:r>
        <w:rPr>
          <w:rFonts w:eastAsia="Times New Roman"/>
          <w:b/>
          <w:color w:val="000000"/>
          <w:lang w:eastAsia="en-GB"/>
        </w:rPr>
        <w:t xml:space="preserve"> </w:t>
      </w:r>
      <w:r>
        <w:rPr>
          <w:b/>
          <w:bCs/>
        </w:rPr>
        <w:t>19 Septem</w:t>
      </w:r>
      <w:r>
        <w:rPr>
          <w:b/>
          <w:bCs/>
        </w:rPr>
        <w:t>ber 2023,</w:t>
      </w:r>
      <w:r>
        <w:t xml:space="preserve"> if they have not already done so.</w:t>
      </w:r>
    </w:p>
    <w:p w14:paraId="6442CC1E" w14:textId="77777777" w:rsidR="00A91FAA" w:rsidRDefault="008B196A">
      <w:pPr>
        <w:jc w:val="left"/>
      </w:pPr>
      <w:r>
        <w:rPr>
          <w:rFonts w:eastAsia="Times New Roman"/>
          <w:color w:val="000000"/>
          <w:lang w:eastAsia="en-GB"/>
        </w:rPr>
        <w:t>Please contact SE0041@traderemedies.gov.uk if you have any difficulties using this service.</w:t>
      </w:r>
    </w:p>
    <w:p w14:paraId="719D7C27" w14:textId="77777777" w:rsidR="00A91FAA" w:rsidRDefault="008B196A">
      <w:pPr>
        <w:jc w:val="left"/>
      </w:pPr>
      <w:r>
        <w:rPr>
          <w:rFonts w:eastAsia="Times New Roman"/>
          <w:color w:val="000000"/>
          <w:lang w:eastAsia="en-GB"/>
        </w:rPr>
        <w:t xml:space="preserve">Anyone registering their interest after </w:t>
      </w:r>
      <w:r>
        <w:rPr>
          <w:b/>
          <w:bCs/>
        </w:rPr>
        <w:t>19 September</w:t>
      </w:r>
      <w:r>
        <w:t xml:space="preserve"> </w:t>
      </w:r>
      <w:r>
        <w:rPr>
          <w:b/>
          <w:bCs/>
        </w:rPr>
        <w:t>2023</w:t>
      </w:r>
      <w:r>
        <w:rPr>
          <w:rFonts w:eastAsia="Times New Roman"/>
          <w:color w:val="000000"/>
          <w:lang w:eastAsia="en-GB"/>
        </w:rPr>
        <w:t xml:space="preserve"> may not be able to participate fully in the review </w:t>
      </w:r>
      <w:r>
        <w:rPr>
          <w:rFonts w:eastAsia="Times New Roman"/>
          <w:color w:val="000000"/>
          <w:lang w:eastAsia="en-GB"/>
        </w:rPr>
        <w:t>process.</w:t>
      </w:r>
    </w:p>
    <w:p w14:paraId="41B0DB87" w14:textId="77777777" w:rsidR="00A91FAA" w:rsidRDefault="00A91FAA">
      <w:pPr>
        <w:jc w:val="left"/>
        <w:rPr>
          <w:rFonts w:eastAsia="Times New Roman"/>
          <w:color w:val="000000"/>
          <w:lang w:eastAsia="en-GB"/>
        </w:rPr>
      </w:pPr>
    </w:p>
    <w:p w14:paraId="38E2B185" w14:textId="77777777" w:rsidR="00A91FAA" w:rsidRDefault="008B196A">
      <w:pPr>
        <w:jc w:val="left"/>
      </w:pPr>
      <w:r>
        <w:rPr>
          <w:b/>
          <w:i/>
        </w:rPr>
        <w:t xml:space="preserve">Interested parties and </w:t>
      </w:r>
      <w:proofErr w:type="gramStart"/>
      <w:r>
        <w:rPr>
          <w:b/>
          <w:i/>
        </w:rPr>
        <w:t>contributors</w:t>
      </w:r>
      <w:proofErr w:type="gramEnd"/>
    </w:p>
    <w:p w14:paraId="6BC10F3C" w14:textId="77777777" w:rsidR="00A91FAA" w:rsidRDefault="008B196A">
      <w:pPr>
        <w:jc w:val="left"/>
      </w:pPr>
      <w:r>
        <w:t>Interested parties may include:</w:t>
      </w:r>
    </w:p>
    <w:p w14:paraId="68725B6B" w14:textId="77777777" w:rsidR="00A91FAA" w:rsidRDefault="008B196A">
      <w:pPr>
        <w:pStyle w:val="ListParagraph"/>
        <w:numPr>
          <w:ilvl w:val="0"/>
          <w:numId w:val="3"/>
        </w:numPr>
        <w:contextualSpacing w:val="0"/>
        <w:jc w:val="left"/>
      </w:pPr>
      <w:r>
        <w:t>the government(s) of the relevant foreign country(s) or territory(</w:t>
      </w:r>
      <w:proofErr w:type="spellStart"/>
      <w:r>
        <w:t>ies</w:t>
      </w:r>
      <w:proofErr w:type="spellEnd"/>
      <w:proofErr w:type="gramStart"/>
      <w:r>
        <w:t>);</w:t>
      </w:r>
      <w:proofErr w:type="gramEnd"/>
    </w:p>
    <w:p w14:paraId="062A03FF" w14:textId="77777777" w:rsidR="00A91FAA" w:rsidRDefault="008B196A">
      <w:pPr>
        <w:pStyle w:val="ListParagraph"/>
        <w:numPr>
          <w:ilvl w:val="0"/>
          <w:numId w:val="3"/>
        </w:numPr>
        <w:contextualSpacing w:val="0"/>
        <w:jc w:val="left"/>
      </w:pPr>
      <w:r>
        <w:t xml:space="preserve">an overseas exporter or importer of the goods subject to </w:t>
      </w:r>
      <w:proofErr w:type="gramStart"/>
      <w:r>
        <w:t>review;</w:t>
      </w:r>
      <w:proofErr w:type="gramEnd"/>
    </w:p>
    <w:p w14:paraId="14E8053D" w14:textId="77777777" w:rsidR="00A91FAA" w:rsidRDefault="008B196A">
      <w:pPr>
        <w:pStyle w:val="ListParagraph"/>
        <w:numPr>
          <w:ilvl w:val="0"/>
          <w:numId w:val="3"/>
        </w:numPr>
        <w:contextualSpacing w:val="0"/>
        <w:jc w:val="left"/>
      </w:pPr>
      <w:r>
        <w:t xml:space="preserve">an overseas producer of the goods </w:t>
      </w:r>
      <w:r>
        <w:t xml:space="preserve">subject to </w:t>
      </w:r>
      <w:proofErr w:type="gramStart"/>
      <w:r>
        <w:t>review;</w:t>
      </w:r>
      <w:proofErr w:type="gramEnd"/>
    </w:p>
    <w:p w14:paraId="241DA019" w14:textId="77777777" w:rsidR="00A91FAA" w:rsidRDefault="008B196A">
      <w:pPr>
        <w:pStyle w:val="ListParagraph"/>
        <w:numPr>
          <w:ilvl w:val="0"/>
          <w:numId w:val="3"/>
        </w:numPr>
        <w:contextualSpacing w:val="0"/>
        <w:jc w:val="left"/>
      </w:pPr>
      <w:r>
        <w:t xml:space="preserve">a trade or business association of producers, overseas exporters or importers of the goods subject to </w:t>
      </w:r>
      <w:proofErr w:type="gramStart"/>
      <w:r>
        <w:t>review;</w:t>
      </w:r>
      <w:proofErr w:type="gramEnd"/>
    </w:p>
    <w:p w14:paraId="1F9395A2" w14:textId="77777777" w:rsidR="00A91FAA" w:rsidRDefault="008B196A">
      <w:pPr>
        <w:pStyle w:val="ListParagraph"/>
        <w:numPr>
          <w:ilvl w:val="0"/>
          <w:numId w:val="3"/>
        </w:numPr>
        <w:contextualSpacing w:val="0"/>
        <w:jc w:val="left"/>
      </w:pPr>
      <w:r>
        <w:lastRenderedPageBreak/>
        <w:t>a producer of like goods and/or directly competitive goods in the UK; and</w:t>
      </w:r>
    </w:p>
    <w:p w14:paraId="7BE02451" w14:textId="77777777" w:rsidR="00A91FAA" w:rsidRDefault="008B196A">
      <w:pPr>
        <w:pStyle w:val="ListParagraph"/>
        <w:numPr>
          <w:ilvl w:val="0"/>
          <w:numId w:val="3"/>
        </w:numPr>
        <w:contextualSpacing w:val="0"/>
        <w:jc w:val="left"/>
      </w:pPr>
      <w:r>
        <w:t>a trade or business association of UK producers of li</w:t>
      </w:r>
      <w:r>
        <w:t xml:space="preserve">ke goods and/or directly competitive goods. </w:t>
      </w:r>
    </w:p>
    <w:p w14:paraId="60DE27AB" w14:textId="77777777" w:rsidR="00A91FAA" w:rsidRDefault="008B196A">
      <w:pPr>
        <w:jc w:val="left"/>
      </w:pPr>
      <w:r>
        <w:t xml:space="preserve">Contributors are those, other than interested parties, who have notified the TRA to advise that that they would like to participate in the review. </w:t>
      </w:r>
    </w:p>
    <w:p w14:paraId="45A4A8DB" w14:textId="77777777" w:rsidR="00A91FAA" w:rsidRDefault="008B196A">
      <w:pPr>
        <w:jc w:val="left"/>
      </w:pPr>
      <w:bookmarkStart w:id="0" w:name="_Hlk56682857"/>
      <w:r>
        <w:rPr>
          <w:iCs/>
        </w:rPr>
        <w:t xml:space="preserve">Like goods are goods which are </w:t>
      </w:r>
      <w:r>
        <w:rPr>
          <w:bCs/>
        </w:rPr>
        <w:t>like the goods subject to review</w:t>
      </w:r>
      <w:r>
        <w:rPr>
          <w:bCs/>
        </w:rPr>
        <w:t xml:space="preserve"> in all respects, or if there are no such goods, those which have characteristics closely resembling the goods subject to review.</w:t>
      </w:r>
    </w:p>
    <w:p w14:paraId="58EEBC50" w14:textId="77777777" w:rsidR="00A91FAA" w:rsidRDefault="008B196A">
      <w:pPr>
        <w:jc w:val="left"/>
        <w:rPr>
          <w:color w:val="000000"/>
        </w:rPr>
      </w:pPr>
      <w:r>
        <w:rPr>
          <w:color w:val="000000"/>
        </w:rPr>
        <w:t xml:space="preserve">Directly competitive goods are goods produced in the UK which are directly competitive with the goods subject to </w:t>
      </w:r>
      <w:bookmarkEnd w:id="0"/>
      <w:r>
        <w:rPr>
          <w:color w:val="000000"/>
        </w:rPr>
        <w:t>review.</w:t>
      </w:r>
    </w:p>
    <w:p w14:paraId="59BB3256" w14:textId="77777777" w:rsidR="00A91FAA" w:rsidRDefault="00A91FAA">
      <w:pPr>
        <w:jc w:val="left"/>
        <w:rPr>
          <w:color w:val="000000"/>
        </w:rPr>
      </w:pPr>
    </w:p>
    <w:p w14:paraId="7D86EEF2" w14:textId="77777777" w:rsidR="00A91FAA" w:rsidRDefault="008B196A">
      <w:pPr>
        <w:pStyle w:val="Heading1"/>
      </w:pPr>
      <w:r>
        <w:t>SUMM</w:t>
      </w:r>
      <w:r>
        <w:t>ARY OF THE REVIEW PROCESS</w:t>
      </w:r>
    </w:p>
    <w:p w14:paraId="3C89B4B9" w14:textId="77777777" w:rsidR="00A91FAA" w:rsidRDefault="008B196A">
      <w:pPr>
        <w:jc w:val="left"/>
      </w:pPr>
      <w:r>
        <w:t>The review will involve the following process:</w:t>
      </w:r>
    </w:p>
    <w:p w14:paraId="09E6EBF6" w14:textId="77777777" w:rsidR="00A91FAA" w:rsidRDefault="008B196A">
      <w:pPr>
        <w:pStyle w:val="ListParagraph"/>
        <w:numPr>
          <w:ilvl w:val="0"/>
          <w:numId w:val="4"/>
        </w:numPr>
        <w:ind w:left="714" w:hanging="357"/>
        <w:jc w:val="left"/>
        <w:rPr>
          <w:szCs w:val="24"/>
        </w:rPr>
      </w:pPr>
      <w:r>
        <w:rPr>
          <w:szCs w:val="24"/>
        </w:rPr>
        <w:t xml:space="preserve">inviting parties to register their interest in the </w:t>
      </w:r>
      <w:proofErr w:type="gramStart"/>
      <w:r>
        <w:rPr>
          <w:szCs w:val="24"/>
        </w:rPr>
        <w:t>review;</w:t>
      </w:r>
      <w:proofErr w:type="gramEnd"/>
    </w:p>
    <w:p w14:paraId="7AF6EC2B" w14:textId="77777777" w:rsidR="00A91FAA" w:rsidRDefault="008B196A">
      <w:pPr>
        <w:pStyle w:val="ListParagraph"/>
        <w:numPr>
          <w:ilvl w:val="0"/>
          <w:numId w:val="4"/>
        </w:numPr>
        <w:ind w:left="714" w:hanging="357"/>
        <w:jc w:val="left"/>
        <w:rPr>
          <w:szCs w:val="24"/>
        </w:rPr>
      </w:pPr>
      <w:r>
        <w:rPr>
          <w:szCs w:val="24"/>
        </w:rPr>
        <w:t xml:space="preserve">issuing questionnaires to, and inviting submissions from, interested parties and </w:t>
      </w:r>
      <w:proofErr w:type="gramStart"/>
      <w:r>
        <w:rPr>
          <w:szCs w:val="24"/>
        </w:rPr>
        <w:t>contributors;</w:t>
      </w:r>
      <w:proofErr w:type="gramEnd"/>
    </w:p>
    <w:p w14:paraId="6DCF297A" w14:textId="77777777" w:rsidR="00A91FAA" w:rsidRDefault="008B196A">
      <w:pPr>
        <w:pStyle w:val="ListParagraph"/>
        <w:numPr>
          <w:ilvl w:val="0"/>
          <w:numId w:val="4"/>
        </w:numPr>
        <w:ind w:left="714" w:hanging="357"/>
        <w:jc w:val="left"/>
      </w:pPr>
      <w:r>
        <w:t xml:space="preserve">authenticating and analysing </w:t>
      </w:r>
      <w:r>
        <w:t xml:space="preserve">information </w:t>
      </w:r>
      <w:proofErr w:type="gramStart"/>
      <w:r>
        <w:t>gathered;</w:t>
      </w:r>
      <w:proofErr w:type="gramEnd"/>
    </w:p>
    <w:p w14:paraId="3F7710E6" w14:textId="77777777" w:rsidR="00A91FAA" w:rsidRDefault="008B196A">
      <w:pPr>
        <w:pStyle w:val="ListParagraph"/>
        <w:numPr>
          <w:ilvl w:val="0"/>
          <w:numId w:val="4"/>
        </w:numPr>
        <w:ind w:left="714" w:hanging="357"/>
        <w:jc w:val="left"/>
      </w:pPr>
      <w:r>
        <w:rPr>
          <w:rFonts w:eastAsia="Times New Roman"/>
          <w:color w:val="000000"/>
          <w:lang w:eastAsia="en-GB"/>
        </w:rPr>
        <w:t>publication of a Statement of Intended Final Determination (SIFD); and </w:t>
      </w:r>
    </w:p>
    <w:p w14:paraId="55D030D4" w14:textId="77777777" w:rsidR="00A91FAA" w:rsidRDefault="008B196A">
      <w:pPr>
        <w:pStyle w:val="ListParagraph"/>
        <w:numPr>
          <w:ilvl w:val="0"/>
          <w:numId w:val="4"/>
        </w:numPr>
        <w:ind w:left="714" w:hanging="357"/>
        <w:jc w:val="left"/>
      </w:pPr>
      <w:r>
        <w:rPr>
          <w:rFonts w:eastAsia="Times New Roman"/>
          <w:color w:val="000000"/>
          <w:lang w:eastAsia="en-GB"/>
        </w:rPr>
        <w:t>gathering comments on the SIFD - o</w:t>
      </w:r>
      <w:r>
        <w:rPr>
          <w:rFonts w:eastAsia="Arial"/>
          <w:color w:val="000000"/>
        </w:rPr>
        <w:t xml:space="preserve">n publication of the SIFD we will set </w:t>
      </w:r>
      <w:proofErr w:type="gramStart"/>
      <w:r>
        <w:rPr>
          <w:rFonts w:eastAsia="Arial"/>
          <w:color w:val="000000"/>
        </w:rPr>
        <w:t>a period of time</w:t>
      </w:r>
      <w:proofErr w:type="gramEnd"/>
      <w:r>
        <w:rPr>
          <w:rFonts w:eastAsia="Arial"/>
          <w:color w:val="000000"/>
        </w:rPr>
        <w:t>, usually no longer than 30 days, during which parties will be able to com</w:t>
      </w:r>
      <w:r>
        <w:rPr>
          <w:rFonts w:eastAsia="Arial"/>
          <w:color w:val="000000"/>
        </w:rPr>
        <w:t>ment on the SIFD</w:t>
      </w:r>
      <w:r>
        <w:rPr>
          <w:rFonts w:eastAsia="Times New Roman"/>
          <w:color w:val="000000"/>
          <w:lang w:eastAsia="en-GB"/>
        </w:rPr>
        <w:t>. </w:t>
      </w:r>
    </w:p>
    <w:p w14:paraId="2EEE16B9" w14:textId="77777777" w:rsidR="00A91FAA" w:rsidRDefault="008B196A">
      <w:pPr>
        <w:jc w:val="left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At the end of the review, the TRA may determine under regulation 35(7) of the Regulations that the application of the measure should expire or be extended. In the case of a determination to extend, a recommendation will be made to the Se</w:t>
      </w:r>
      <w:r>
        <w:rPr>
          <w:rFonts w:eastAsia="Times New Roman"/>
          <w:color w:val="000000"/>
          <w:lang w:eastAsia="en-GB"/>
        </w:rPr>
        <w:t xml:space="preserve">cretary of State for Business and Trade. </w:t>
      </w:r>
    </w:p>
    <w:p w14:paraId="7EEA8BA6" w14:textId="77777777" w:rsidR="00A91FAA" w:rsidRDefault="00A91FAA">
      <w:pPr>
        <w:jc w:val="left"/>
      </w:pPr>
    </w:p>
    <w:p w14:paraId="06FC5459" w14:textId="77777777" w:rsidR="00A91FAA" w:rsidRDefault="008B196A">
      <w:r>
        <w:rPr>
          <w:b/>
          <w:bCs/>
          <w:i/>
          <w:iCs/>
          <w:szCs w:val="24"/>
        </w:rPr>
        <w:t>Sampling</w:t>
      </w:r>
    </w:p>
    <w:p w14:paraId="193C8352" w14:textId="77777777" w:rsidR="00A91FAA" w:rsidRDefault="008B196A">
      <w:r>
        <w:rPr>
          <w:szCs w:val="24"/>
        </w:rPr>
        <w:t>We may consider it appropriate to limit examination to a sample of:</w:t>
      </w:r>
    </w:p>
    <w:p w14:paraId="4186A1FA" w14:textId="77777777" w:rsidR="00A91FAA" w:rsidRDefault="008B196A">
      <w:pPr>
        <w:pStyle w:val="ListParagraph"/>
        <w:numPr>
          <w:ilvl w:val="0"/>
          <w:numId w:val="5"/>
        </w:numPr>
        <w:ind w:left="714" w:hanging="357"/>
        <w:jc w:val="left"/>
      </w:pPr>
      <w:r>
        <w:rPr>
          <w:rFonts w:eastAsia="Times New Roman"/>
        </w:rPr>
        <w:t xml:space="preserve">categories of </w:t>
      </w:r>
      <w:proofErr w:type="gramStart"/>
      <w:r>
        <w:rPr>
          <w:rFonts w:eastAsia="Times New Roman"/>
        </w:rPr>
        <w:t>goods;</w:t>
      </w:r>
      <w:proofErr w:type="gramEnd"/>
    </w:p>
    <w:p w14:paraId="6500CEB5" w14:textId="77777777" w:rsidR="00A91FAA" w:rsidRDefault="008B196A">
      <w:pPr>
        <w:pStyle w:val="ListParagraph"/>
        <w:numPr>
          <w:ilvl w:val="0"/>
          <w:numId w:val="5"/>
        </w:numPr>
        <w:ind w:left="714" w:hanging="357"/>
        <w:jc w:val="left"/>
        <w:rPr>
          <w:rFonts w:eastAsia="Times New Roman"/>
        </w:rPr>
      </w:pPr>
      <w:r>
        <w:rPr>
          <w:rFonts w:eastAsia="Times New Roman"/>
        </w:rPr>
        <w:t xml:space="preserve">UK </w:t>
      </w:r>
      <w:proofErr w:type="gramStart"/>
      <w:r>
        <w:rPr>
          <w:rFonts w:eastAsia="Times New Roman"/>
        </w:rPr>
        <w:t>producers;</w:t>
      </w:r>
      <w:proofErr w:type="gramEnd"/>
    </w:p>
    <w:p w14:paraId="6B06DC41" w14:textId="77777777" w:rsidR="00A91FAA" w:rsidRDefault="008B196A">
      <w:pPr>
        <w:pStyle w:val="ListParagraph"/>
        <w:numPr>
          <w:ilvl w:val="0"/>
          <w:numId w:val="5"/>
        </w:numPr>
        <w:ind w:left="714" w:hanging="357"/>
        <w:jc w:val="left"/>
        <w:rPr>
          <w:rFonts w:eastAsia="Times New Roman"/>
        </w:rPr>
      </w:pPr>
      <w:r>
        <w:rPr>
          <w:rFonts w:eastAsia="Times New Roman"/>
        </w:rPr>
        <w:t>transactions for the purchase of the like goods and directly competitive goods in the UK; or</w:t>
      </w:r>
    </w:p>
    <w:p w14:paraId="013C960A" w14:textId="77777777" w:rsidR="00A91FAA" w:rsidRDefault="008B196A">
      <w:pPr>
        <w:pStyle w:val="ListParagraph"/>
        <w:numPr>
          <w:ilvl w:val="0"/>
          <w:numId w:val="5"/>
        </w:numPr>
        <w:ind w:left="714" w:hanging="357"/>
        <w:jc w:val="left"/>
        <w:rPr>
          <w:rFonts w:eastAsia="Times New Roman"/>
        </w:rPr>
      </w:pPr>
      <w:r>
        <w:rPr>
          <w:rFonts w:eastAsia="Times New Roman"/>
        </w:rPr>
        <w:t>anything else we consider appropriate to sample.</w:t>
      </w:r>
    </w:p>
    <w:p w14:paraId="0C54AAD1" w14:textId="77777777" w:rsidR="00A91FAA" w:rsidRDefault="00A91FAA">
      <w:pPr>
        <w:pStyle w:val="ListParagraph"/>
        <w:contextualSpacing w:val="0"/>
        <w:jc w:val="left"/>
        <w:rPr>
          <w:rFonts w:eastAsia="Times New Roman"/>
        </w:rPr>
      </w:pPr>
    </w:p>
    <w:p w14:paraId="2729DBB6" w14:textId="77777777" w:rsidR="00A91FAA" w:rsidRDefault="008B196A">
      <w:pPr>
        <w:jc w:val="left"/>
        <w:rPr>
          <w:b/>
          <w:i/>
          <w:szCs w:val="24"/>
        </w:rPr>
      </w:pPr>
      <w:r>
        <w:rPr>
          <w:b/>
          <w:i/>
          <w:szCs w:val="24"/>
        </w:rPr>
        <w:t>Oral hearings</w:t>
      </w:r>
    </w:p>
    <w:p w14:paraId="0BDE948C" w14:textId="77777777" w:rsidR="00A91FAA" w:rsidRDefault="008B196A">
      <w:pPr>
        <w:jc w:val="left"/>
      </w:pPr>
      <w:r>
        <w:t xml:space="preserve">Interested parties can request a hearing during the review process using the </w:t>
      </w:r>
      <w:hyperlink r:id="rId12" w:history="1">
        <w:r>
          <w:rPr>
            <w:rStyle w:val="Hyperlink"/>
          </w:rPr>
          <w:t>Trade Remedies Service</w:t>
        </w:r>
      </w:hyperlink>
      <w:r>
        <w:rPr>
          <w:rStyle w:val="Hyperlink"/>
          <w:rFonts w:eastAsia="Arial"/>
        </w:rPr>
        <w:t>.</w:t>
      </w:r>
      <w:r>
        <w:t xml:space="preserve">  </w:t>
      </w:r>
    </w:p>
    <w:p w14:paraId="74F57C43" w14:textId="77777777" w:rsidR="00A91FAA" w:rsidRDefault="008B196A">
      <w:pPr>
        <w:jc w:val="left"/>
      </w:pPr>
      <w:r>
        <w:t xml:space="preserve">For further information about hearings, please see our </w:t>
      </w:r>
      <w:hyperlink r:id="rId13" w:history="1">
        <w:r>
          <w:rPr>
            <w:rStyle w:val="Hyperlink"/>
          </w:rPr>
          <w:t>Meetings, Hearings and Visits guidance</w:t>
        </w:r>
      </w:hyperlink>
      <w:r>
        <w:rPr>
          <w:b/>
          <w:bCs/>
        </w:rPr>
        <w:t>.</w:t>
      </w:r>
    </w:p>
    <w:p w14:paraId="08ACFDC8" w14:textId="77777777" w:rsidR="00A91FAA" w:rsidRDefault="00A91FAA">
      <w:pPr>
        <w:jc w:val="left"/>
      </w:pPr>
    </w:p>
    <w:p w14:paraId="6F909F05" w14:textId="77777777" w:rsidR="00A91FAA" w:rsidRDefault="008B196A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Confidential information</w:t>
      </w:r>
    </w:p>
    <w:p w14:paraId="1A3179F4" w14:textId="77777777" w:rsidR="00A91FAA" w:rsidRDefault="008B196A">
      <w:pPr>
        <w:jc w:val="left"/>
      </w:pPr>
      <w:r>
        <w:t>Information provided during a review may be treated as confidential. Anyone request</w:t>
      </w:r>
      <w:r>
        <w:t>ing that information be treated as confidential must demonstrate why and provide:</w:t>
      </w:r>
    </w:p>
    <w:p w14:paraId="77205849" w14:textId="77777777" w:rsidR="00A91FAA" w:rsidRDefault="008B196A">
      <w:pPr>
        <w:pStyle w:val="ListParagraph"/>
        <w:numPr>
          <w:ilvl w:val="0"/>
          <w:numId w:val="6"/>
        </w:numPr>
        <w:contextualSpacing w:val="0"/>
        <w:jc w:val="left"/>
      </w:pPr>
      <w:r>
        <w:t>a non-confidential summary of that information; or</w:t>
      </w:r>
    </w:p>
    <w:p w14:paraId="2EE7CFC6" w14:textId="77777777" w:rsidR="00A91FAA" w:rsidRDefault="008B196A">
      <w:pPr>
        <w:pStyle w:val="ListParagraph"/>
        <w:numPr>
          <w:ilvl w:val="0"/>
          <w:numId w:val="6"/>
        </w:numPr>
        <w:contextualSpacing w:val="0"/>
        <w:jc w:val="left"/>
      </w:pPr>
      <w:r>
        <w:t>where that is not possible, a statement of reasons explaining why the information should be treated as confidential, and wh</w:t>
      </w:r>
      <w:r>
        <w:t>y it cannot be summarised.</w:t>
      </w:r>
    </w:p>
    <w:p w14:paraId="0E1A9E19" w14:textId="77777777" w:rsidR="00A91FAA" w:rsidRDefault="00A91FAA">
      <w:pPr>
        <w:pStyle w:val="ListParagraph"/>
        <w:contextualSpacing w:val="0"/>
        <w:jc w:val="left"/>
      </w:pPr>
    </w:p>
    <w:p w14:paraId="2E2FDD48" w14:textId="77777777" w:rsidR="00A91FAA" w:rsidRDefault="008B196A">
      <w:pPr>
        <w:jc w:val="left"/>
        <w:rPr>
          <w:b/>
        </w:rPr>
      </w:pPr>
      <w:r>
        <w:rPr>
          <w:b/>
        </w:rPr>
        <w:t>FURTHER INFORMATION</w:t>
      </w:r>
    </w:p>
    <w:p w14:paraId="7D48CF78" w14:textId="77777777" w:rsidR="00A91FAA" w:rsidRDefault="008B196A">
      <w:r>
        <w:t xml:space="preserve">Our </w:t>
      </w:r>
      <w:hyperlink r:id="rId14" w:history="1">
        <w:r>
          <w:rPr>
            <w:rFonts w:eastAsia="Arial"/>
            <w:color w:val="0070C0"/>
            <w:u w:val="single"/>
          </w:rPr>
          <w:t>Trade Remedies Guidance</w:t>
        </w:r>
      </w:hyperlink>
      <w:r>
        <w:rPr>
          <w:rFonts w:eastAsia="Arial"/>
        </w:rPr>
        <w:t xml:space="preserve"> provides more information about the investigations process, including our requirements for </w:t>
      </w:r>
      <w:hyperlink r:id="rId15" w:history="1">
        <w:r>
          <w:rPr>
            <w:rStyle w:val="Hyperlink"/>
            <w:rFonts w:eastAsia="Arial"/>
            <w:color w:val="0070C0"/>
          </w:rPr>
          <w:t>submitting and summarising confidential information</w:t>
        </w:r>
      </w:hyperlink>
      <w:r>
        <w:rPr>
          <w:rFonts w:eastAsia="Arial"/>
          <w:color w:val="0070C0"/>
        </w:rPr>
        <w:t>.</w:t>
      </w:r>
    </w:p>
    <w:p w14:paraId="6D4C3743" w14:textId="77777777" w:rsidR="00A91FAA" w:rsidRDefault="00A91FAA">
      <w:pPr>
        <w:rPr>
          <w:color w:val="44546A"/>
        </w:rPr>
      </w:pPr>
    </w:p>
    <w:p w14:paraId="1FF0EB2B" w14:textId="77777777" w:rsidR="00A91FAA" w:rsidRDefault="008B196A">
      <w:pPr>
        <w:contextualSpacing/>
      </w:pPr>
      <w:r>
        <w:rPr>
          <w:rFonts w:eastAsia="Arial"/>
          <w:color w:val="000000"/>
        </w:rPr>
        <w:t>Oliver Griffiths</w:t>
      </w:r>
    </w:p>
    <w:p w14:paraId="787AA4C3" w14:textId="77777777" w:rsidR="00A91FAA" w:rsidRDefault="008B196A">
      <w:pPr>
        <w:contextualSpacing/>
      </w:pPr>
      <w:r>
        <w:rPr>
          <w:rFonts w:eastAsia="Arial"/>
          <w:color w:val="000000"/>
        </w:rPr>
        <w:t>Chief Executive Officer</w:t>
      </w:r>
    </w:p>
    <w:p w14:paraId="140FCC5F" w14:textId="77777777" w:rsidR="00A91FAA" w:rsidRDefault="008B196A">
      <w:pPr>
        <w:contextualSpacing/>
      </w:pPr>
      <w:r>
        <w:rPr>
          <w:rFonts w:eastAsia="Arial"/>
          <w:color w:val="000000"/>
        </w:rPr>
        <w:t>Trade Remedies Authority</w:t>
      </w:r>
    </w:p>
    <w:p w14:paraId="3D2011FB" w14:textId="77777777" w:rsidR="00A91FAA" w:rsidRDefault="008B196A">
      <w:pPr>
        <w:jc w:val="left"/>
      </w:pPr>
      <w:r>
        <w:rPr>
          <w:color w:val="000000"/>
        </w:rPr>
        <w:t>4 September 2023</w:t>
      </w:r>
    </w:p>
    <w:p w14:paraId="125EB03D" w14:textId="77777777" w:rsidR="00A91FAA" w:rsidRDefault="008B196A">
      <w:pPr>
        <w:pageBreakBefore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ANNEX A: THE GOODS SUBJECT TO REVIEW </w:t>
      </w:r>
    </w:p>
    <w:p w14:paraId="559BD6C5" w14:textId="77777777" w:rsidR="00A91FAA" w:rsidRDefault="00A91FAA">
      <w:pPr>
        <w:rPr>
          <w:b/>
          <w:bCs/>
          <w:color w:val="000000"/>
        </w:rPr>
      </w:pPr>
    </w:p>
    <w:tbl>
      <w:tblPr>
        <w:tblW w:w="1020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670"/>
      </w:tblGrid>
      <w:tr w:rsidR="00A91FAA" w14:paraId="7A9ED0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2FC3" w14:textId="77777777" w:rsidR="00A91FAA" w:rsidRDefault="008B196A">
            <w:r>
              <w:rPr>
                <w:b/>
                <w:bCs/>
                <w:sz w:val="22"/>
              </w:rPr>
              <w:t>Product Number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30C5" w14:textId="77777777" w:rsidR="00A91FAA" w:rsidRDefault="008B196A">
            <w:r>
              <w:rPr>
                <w:b/>
                <w:bCs/>
                <w:sz w:val="22"/>
              </w:rPr>
              <w:t>Product Category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C2BD" w14:textId="77777777" w:rsidR="00A91FAA" w:rsidRDefault="008B196A">
            <w:r>
              <w:rPr>
                <w:b/>
                <w:bCs/>
                <w:sz w:val="22"/>
              </w:rPr>
              <w:t>Commodity Codes</w:t>
            </w:r>
          </w:p>
        </w:tc>
      </w:tr>
      <w:tr w:rsidR="00A91FAA" w14:paraId="04FFE7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4615" w14:textId="77777777" w:rsidR="00A91FAA" w:rsidRDefault="008B196A">
            <w:r>
              <w:rPr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764F" w14:textId="77777777" w:rsidR="00A91FAA" w:rsidRDefault="008B196A">
            <w:r>
              <w:rPr>
                <w:color w:val="0B0C0C"/>
                <w:sz w:val="22"/>
              </w:rPr>
              <w:t>Non-alloy and other alloy hot-rolled sheet and strip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9702" w14:textId="77777777" w:rsidR="00A91FAA" w:rsidRDefault="008B196A">
            <w:pPr>
              <w:jc w:val="left"/>
            </w:pPr>
            <w:r>
              <w:rPr>
                <w:sz w:val="22"/>
              </w:rPr>
              <w:t>72081000, 72082500, 72082600, 72082700, 72083600, 72083700, 72083800, 72083900,</w:t>
            </w:r>
            <w:r>
              <w:t xml:space="preserve"> </w:t>
            </w:r>
            <w:r>
              <w:rPr>
                <w:sz w:val="22"/>
              </w:rPr>
              <w:t xml:space="preserve">72084000, 72085210, </w:t>
            </w:r>
            <w:r>
              <w:rPr>
                <w:sz w:val="22"/>
              </w:rPr>
              <w:t>72085299, 72085310, 72085390, 72085400, 72111300, 72111400, 72111900, 72126000, 72251910, 72253010, 72253030, 72253090, 72254015, 72254090, 72261910, 72269120, 72269191, 72269199</w:t>
            </w:r>
          </w:p>
        </w:tc>
      </w:tr>
      <w:tr w:rsidR="00A91FAA" w14:paraId="2B6ECB3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516DE" w14:textId="77777777" w:rsidR="00A91FAA" w:rsidRDefault="008B196A">
            <w:r>
              <w:rPr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3B36" w14:textId="77777777" w:rsidR="00A91FAA" w:rsidRDefault="008B196A">
            <w:r>
              <w:rPr>
                <w:color w:val="0B0C0C"/>
                <w:sz w:val="22"/>
              </w:rPr>
              <w:t>Non-alloy and other alloy cold-rolled sheet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440E" w14:textId="77777777" w:rsidR="00A91FAA" w:rsidRDefault="008B196A">
            <w:pPr>
              <w:jc w:val="left"/>
            </w:pPr>
            <w:r>
              <w:rPr>
                <w:sz w:val="22"/>
              </w:rPr>
              <w:t xml:space="preserve">72091500, 72091690, </w:t>
            </w:r>
            <w:r>
              <w:rPr>
                <w:sz w:val="22"/>
              </w:rPr>
              <w:t>72091790, 72091891, 72092500, 72092690, 72092790, 72092890, 72099020, 72099080, 72112320, 72112330, 72112380, 72112900, 72119020, 72119080, 72255020, 72255080, 72262000, 72269200</w:t>
            </w:r>
          </w:p>
        </w:tc>
      </w:tr>
      <w:tr w:rsidR="00A91FAA" w14:paraId="32576F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E540" w14:textId="77777777" w:rsidR="00A91FAA" w:rsidRDefault="008B196A">
            <w:r>
              <w:rPr>
                <w:sz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A8E8" w14:textId="77777777" w:rsidR="00A91FAA" w:rsidRDefault="008B196A">
            <w:r>
              <w:rPr>
                <w:color w:val="0B0C0C"/>
                <w:sz w:val="22"/>
              </w:rPr>
              <w:t>Metallic coated sheet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B241" w14:textId="77777777" w:rsidR="00A91FAA" w:rsidRDefault="008B196A">
            <w:pPr>
              <w:jc w:val="left"/>
            </w:pPr>
            <w:r>
              <w:rPr>
                <w:sz w:val="22"/>
              </w:rPr>
              <w:t xml:space="preserve">72102000, 72104100, 72104900, 72106100, 7210690020, </w:t>
            </w:r>
            <w:r>
              <w:rPr>
                <w:sz w:val="22"/>
              </w:rPr>
              <w:t>7210690080, 72109080, 72122000, 72123000, 72125020, 72125030, 72125040, 72125061, 72125069, 72125090, 72259100, 72259200, 72259900, 72269910, 72269930, 72269970</w:t>
            </w:r>
          </w:p>
        </w:tc>
      </w:tr>
      <w:tr w:rsidR="00A91FAA" w14:paraId="3190DA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E080" w14:textId="77777777" w:rsidR="00A91FAA" w:rsidRDefault="008B196A">
            <w:r>
              <w:rPr>
                <w:sz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730D" w14:textId="77777777" w:rsidR="00A91FAA" w:rsidRDefault="008B196A">
            <w:r>
              <w:rPr>
                <w:color w:val="0B0C0C"/>
                <w:sz w:val="22"/>
              </w:rPr>
              <w:t>Organic coated sheet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EB0C8" w14:textId="77777777" w:rsidR="00A91FAA" w:rsidRDefault="008B196A">
            <w:pPr>
              <w:jc w:val="left"/>
            </w:pPr>
            <w:r>
              <w:rPr>
                <w:sz w:val="22"/>
              </w:rPr>
              <w:t>72107080, 72124080</w:t>
            </w:r>
          </w:p>
        </w:tc>
      </w:tr>
      <w:tr w:rsidR="00A91FAA" w14:paraId="1CD23EE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0A4C" w14:textId="77777777" w:rsidR="00A91FAA" w:rsidRDefault="008B196A">
            <w:r>
              <w:rPr>
                <w:sz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CC7D" w14:textId="77777777" w:rsidR="00A91FAA" w:rsidRDefault="008B196A">
            <w:r>
              <w:rPr>
                <w:sz w:val="22"/>
              </w:rPr>
              <w:t>Tin mill products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D12B" w14:textId="77777777" w:rsidR="00A91FAA" w:rsidRDefault="008B196A">
            <w:pPr>
              <w:jc w:val="left"/>
            </w:pPr>
            <w:r>
              <w:rPr>
                <w:rFonts w:eastAsia="Times New Roman"/>
                <w:color w:val="0B0C0C"/>
                <w:sz w:val="22"/>
                <w:lang w:eastAsia="en-GB"/>
              </w:rPr>
              <w:t>72091899, 72105000, 72121090, 7</w:t>
            </w:r>
            <w:r>
              <w:rPr>
                <w:rFonts w:eastAsia="Times New Roman"/>
                <w:color w:val="0B0C0C"/>
                <w:sz w:val="22"/>
                <w:lang w:eastAsia="en-GB"/>
              </w:rPr>
              <w:t>2101100, 72107010, 72124020, 72101220, 72109040, 72101280, 72121010</w:t>
            </w:r>
          </w:p>
        </w:tc>
      </w:tr>
      <w:tr w:rsidR="00A91FAA" w14:paraId="50743AC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0D6B" w14:textId="77777777" w:rsidR="00A91FAA" w:rsidRDefault="008B196A">
            <w:r>
              <w:rPr>
                <w:sz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21F" w14:textId="77777777" w:rsidR="00A91FAA" w:rsidRDefault="008B196A">
            <w:r>
              <w:rPr>
                <w:sz w:val="22"/>
              </w:rPr>
              <w:t>Non-alloy and other alloy quarto plates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758" w14:textId="77777777" w:rsidR="00A91FAA" w:rsidRDefault="008B196A">
            <w:pPr>
              <w:jc w:val="left"/>
            </w:pPr>
            <w:r>
              <w:rPr>
                <w:rFonts w:eastAsia="Times New Roman"/>
                <w:color w:val="0B0C0C"/>
                <w:sz w:val="22"/>
                <w:lang w:eastAsia="en-GB"/>
              </w:rPr>
              <w:t>72085120, 72089020, 72254040, 72085191, 72089080, 72254060, 72085198, 72109030, 72085291, 72254012</w:t>
            </w:r>
          </w:p>
        </w:tc>
      </w:tr>
      <w:tr w:rsidR="00A91FAA" w14:paraId="081F09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5C34" w14:textId="77777777" w:rsidR="00A91FAA" w:rsidRDefault="008B196A">
            <w:r>
              <w:rPr>
                <w:sz w:val="22"/>
              </w:rPr>
              <w:t>12A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F90E" w14:textId="77777777" w:rsidR="00A91FAA" w:rsidRDefault="008B196A">
            <w:r>
              <w:rPr>
                <w:sz w:val="22"/>
              </w:rPr>
              <w:t xml:space="preserve">Alloy merchant bars and light </w:t>
            </w:r>
            <w:r>
              <w:rPr>
                <w:sz w:val="22"/>
              </w:rPr>
              <w:t>sections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5078" w14:textId="77777777" w:rsidR="00A91FAA" w:rsidRDefault="008B196A">
            <w:pPr>
              <w:jc w:val="left"/>
            </w:pPr>
            <w:r>
              <w:rPr>
                <w:rFonts w:eastAsia="Times New Roman"/>
                <w:color w:val="0B0C0C"/>
                <w:sz w:val="22"/>
                <w:lang w:eastAsia="en-GB"/>
              </w:rPr>
              <w:t>72283020, 72283041, 72283061, 72283069, 72283070, 72283089, 72286020, 72287010</w:t>
            </w:r>
          </w:p>
        </w:tc>
      </w:tr>
      <w:tr w:rsidR="00A91FAA" w14:paraId="5CC3F92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2CB" w14:textId="77777777" w:rsidR="00A91FAA" w:rsidRDefault="008B196A">
            <w:r>
              <w:rPr>
                <w:sz w:val="22"/>
              </w:rPr>
              <w:t>12B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E7B8" w14:textId="77777777" w:rsidR="00A91FAA" w:rsidRDefault="008B196A">
            <w:r>
              <w:rPr>
                <w:rFonts w:eastAsia="Times New Roman"/>
                <w:color w:val="0B0C0C"/>
                <w:sz w:val="22"/>
                <w:lang w:eastAsia="en-GB"/>
              </w:rPr>
              <w:t>Non-alloy merchant bars and light sections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4CBE" w14:textId="77777777" w:rsidR="00A91FAA" w:rsidRDefault="008B196A">
            <w:pPr>
              <w:jc w:val="left"/>
            </w:pPr>
            <w:r>
              <w:rPr>
                <w:rFonts w:eastAsia="Times New Roman"/>
                <w:color w:val="0B0C0C"/>
                <w:sz w:val="22"/>
                <w:lang w:eastAsia="en-GB"/>
              </w:rPr>
              <w:t xml:space="preserve">72143000, 72149110, 72149190, 72149931, 72149939, 72149950, 72149971, 72149979, 72149995, 72159000, 72161000, 72162100, </w:t>
            </w:r>
            <w:r>
              <w:rPr>
                <w:rFonts w:eastAsia="Times New Roman"/>
                <w:color w:val="0B0C0C"/>
                <w:sz w:val="22"/>
                <w:lang w:eastAsia="en-GB"/>
              </w:rPr>
              <w:t>72162200, 72164010, 72164090, 72165010, 72165091, 72165099, 72169900</w:t>
            </w:r>
          </w:p>
        </w:tc>
      </w:tr>
      <w:tr w:rsidR="00A91FAA" w14:paraId="3F987DA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343D" w14:textId="77777777" w:rsidR="00A91FAA" w:rsidRDefault="008B196A">
            <w:r>
              <w:rPr>
                <w:sz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EC6A" w14:textId="77777777" w:rsidR="00A91FAA" w:rsidRDefault="008B196A">
            <w:r>
              <w:rPr>
                <w:sz w:val="22"/>
              </w:rPr>
              <w:t>Rebar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79B2" w14:textId="77777777" w:rsidR="00A91FAA" w:rsidRDefault="008B196A">
            <w:pPr>
              <w:jc w:val="left"/>
            </w:pPr>
            <w:r>
              <w:rPr>
                <w:sz w:val="22"/>
              </w:rPr>
              <w:t>72142000, 72149910</w:t>
            </w:r>
          </w:p>
        </w:tc>
      </w:tr>
      <w:tr w:rsidR="00A91FAA" w14:paraId="6E5A6FC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31C9" w14:textId="77777777" w:rsidR="00A91FAA" w:rsidRDefault="008B196A">
            <w:r>
              <w:rPr>
                <w:sz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4C0FC" w14:textId="77777777" w:rsidR="00A91FAA" w:rsidRDefault="008B196A">
            <w:r>
              <w:rPr>
                <w:rFonts w:eastAsia="Times New Roman"/>
                <w:color w:val="0B0C0C"/>
                <w:sz w:val="22"/>
                <w:lang w:eastAsia="en-GB"/>
              </w:rPr>
              <w:t>Non-alloy and other alloy wire rod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82FF" w14:textId="77777777" w:rsidR="00A91FAA" w:rsidRDefault="008B196A">
            <w:pPr>
              <w:jc w:val="left"/>
            </w:pPr>
            <w:r>
              <w:rPr>
                <w:rFonts w:eastAsia="Times New Roman"/>
                <w:color w:val="0B0C0C"/>
                <w:sz w:val="22"/>
                <w:lang w:eastAsia="en-GB"/>
              </w:rPr>
              <w:t xml:space="preserve">72131000, 72139149, 72271000, 72132000, 72139170, 72272000, 72139110, 72139190, 72279010, 72139120, 72139910, </w:t>
            </w:r>
            <w:r>
              <w:rPr>
                <w:rFonts w:eastAsia="Times New Roman"/>
                <w:color w:val="0B0C0C"/>
                <w:sz w:val="22"/>
                <w:lang w:eastAsia="en-GB"/>
              </w:rPr>
              <w:t>72279050, 72139141, 72139990, 72279095</w:t>
            </w:r>
          </w:p>
        </w:tc>
      </w:tr>
      <w:tr w:rsidR="00A91FAA" w14:paraId="5EB7E22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7BAA" w14:textId="77777777" w:rsidR="00A91FAA" w:rsidRDefault="008B196A">
            <w:r>
              <w:rPr>
                <w:sz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F629" w14:textId="77777777" w:rsidR="00A91FAA" w:rsidRDefault="008B196A">
            <w:r>
              <w:rPr>
                <w:rFonts w:eastAsia="Times New Roman"/>
                <w:color w:val="0B0C0C"/>
                <w:sz w:val="22"/>
                <w:lang w:eastAsia="en-GB"/>
              </w:rPr>
              <w:t>Angles, shapes, and sections of iron or non-alloy steel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4EB8" w14:textId="77777777" w:rsidR="00A91FAA" w:rsidRDefault="008B196A">
            <w:pPr>
              <w:jc w:val="left"/>
            </w:pPr>
            <w:r>
              <w:rPr>
                <w:rFonts w:eastAsia="Times New Roman"/>
                <w:color w:val="0B0C0C"/>
                <w:sz w:val="22"/>
                <w:lang w:eastAsia="en-GB"/>
              </w:rPr>
              <w:t>72163110, 72163219, 72163310, 72163190, 72163291, 72163390, 72163211, 72163299</w:t>
            </w:r>
          </w:p>
        </w:tc>
      </w:tr>
      <w:tr w:rsidR="00A91FAA" w14:paraId="5C3C4FD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CF01" w14:textId="77777777" w:rsidR="00A91FAA" w:rsidRDefault="008B196A">
            <w:r>
              <w:rPr>
                <w:sz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3539" w14:textId="77777777" w:rsidR="00A91FAA" w:rsidRDefault="008B196A">
            <w:r>
              <w:rPr>
                <w:sz w:val="22"/>
              </w:rPr>
              <w:t>Railway material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C012" w14:textId="77777777" w:rsidR="00A91FAA" w:rsidRDefault="008B196A">
            <w:pPr>
              <w:jc w:val="left"/>
            </w:pPr>
            <w:r>
              <w:rPr>
                <w:sz w:val="22"/>
              </w:rPr>
              <w:t>73021022, 73021028, 73021050</w:t>
            </w:r>
          </w:p>
        </w:tc>
      </w:tr>
      <w:tr w:rsidR="00A91FAA" w14:paraId="35D0640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30F7" w14:textId="77777777" w:rsidR="00A91FAA" w:rsidRDefault="008B196A">
            <w:r>
              <w:rPr>
                <w:sz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2900" w14:textId="77777777" w:rsidR="00A91FAA" w:rsidRDefault="008B196A">
            <w:r>
              <w:rPr>
                <w:sz w:val="22"/>
              </w:rPr>
              <w:t>Gas pipe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EAD2" w14:textId="77777777" w:rsidR="00A91FAA" w:rsidRDefault="008B196A">
            <w:pPr>
              <w:jc w:val="left"/>
            </w:pPr>
            <w:r>
              <w:rPr>
                <w:sz w:val="22"/>
              </w:rPr>
              <w:t>73063041, 73063049, 73063072, 73063077</w:t>
            </w:r>
          </w:p>
        </w:tc>
      </w:tr>
      <w:tr w:rsidR="00A91FAA" w14:paraId="0B149ED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AC3F" w14:textId="77777777" w:rsidR="00A91FAA" w:rsidRDefault="008B196A">
            <w:r>
              <w:rPr>
                <w:sz w:val="22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A89B" w14:textId="77777777" w:rsidR="00A91FAA" w:rsidRDefault="008B196A">
            <w:r>
              <w:rPr>
                <w:sz w:val="22"/>
              </w:rPr>
              <w:t>Hollow section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133B" w14:textId="77777777" w:rsidR="00A91FAA" w:rsidRDefault="008B196A">
            <w:pPr>
              <w:jc w:val="left"/>
            </w:pPr>
            <w:r>
              <w:rPr>
                <w:sz w:val="22"/>
              </w:rPr>
              <w:t>73066110, 73066192, 73066199</w:t>
            </w:r>
          </w:p>
        </w:tc>
      </w:tr>
      <w:tr w:rsidR="00A91FAA" w14:paraId="7872D2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7BB9" w14:textId="77777777" w:rsidR="00A91FAA" w:rsidRDefault="008B196A">
            <w:r>
              <w:rPr>
                <w:sz w:val="22"/>
              </w:rPr>
              <w:t>25A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3037" w14:textId="77777777" w:rsidR="00A91FAA" w:rsidRDefault="008B196A">
            <w:proofErr w:type="gramStart"/>
            <w:r>
              <w:rPr>
                <w:sz w:val="22"/>
              </w:rPr>
              <w:t>Large welded</w:t>
            </w:r>
            <w:proofErr w:type="gramEnd"/>
            <w:r>
              <w:rPr>
                <w:sz w:val="22"/>
              </w:rPr>
              <w:t xml:space="preserve"> tube (1)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76D0" w14:textId="77777777" w:rsidR="00A91FAA" w:rsidRDefault="008B196A">
            <w:pPr>
              <w:jc w:val="left"/>
            </w:pPr>
            <w:r>
              <w:rPr>
                <w:sz w:val="22"/>
              </w:rPr>
              <w:t>73051100, 73051200</w:t>
            </w:r>
          </w:p>
        </w:tc>
      </w:tr>
      <w:tr w:rsidR="00A91FAA" w14:paraId="6D4B6A6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5593" w14:textId="77777777" w:rsidR="00A91FAA" w:rsidRDefault="008B196A">
            <w:r>
              <w:rPr>
                <w:sz w:val="22"/>
              </w:rPr>
              <w:lastRenderedPageBreak/>
              <w:t>25B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D4D3" w14:textId="77777777" w:rsidR="00A91FAA" w:rsidRDefault="008B196A">
            <w:proofErr w:type="gramStart"/>
            <w:r>
              <w:rPr>
                <w:sz w:val="22"/>
              </w:rPr>
              <w:t>Large welded</w:t>
            </w:r>
            <w:proofErr w:type="gramEnd"/>
            <w:r>
              <w:rPr>
                <w:sz w:val="22"/>
              </w:rPr>
              <w:t xml:space="preserve"> tube (2)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761F" w14:textId="77777777" w:rsidR="00A91FAA" w:rsidRDefault="008B196A">
            <w:pPr>
              <w:jc w:val="left"/>
            </w:pPr>
            <w:r>
              <w:rPr>
                <w:sz w:val="22"/>
              </w:rPr>
              <w:t>73051900, 73052000, 73053100, 73053900, 73059000</w:t>
            </w:r>
          </w:p>
        </w:tc>
      </w:tr>
      <w:tr w:rsidR="00A91FAA" w14:paraId="6966922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291A" w14:textId="77777777" w:rsidR="00A91FAA" w:rsidRDefault="008B196A">
            <w:r>
              <w:rPr>
                <w:sz w:val="22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78D3" w14:textId="77777777" w:rsidR="00A91FAA" w:rsidRDefault="008B196A">
            <w:r>
              <w:rPr>
                <w:sz w:val="22"/>
              </w:rPr>
              <w:t>Other welded tube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134" w14:textId="77777777" w:rsidR="00A91FAA" w:rsidRDefault="008B196A">
            <w:pPr>
              <w:jc w:val="left"/>
            </w:pPr>
            <w:r>
              <w:rPr>
                <w:sz w:val="22"/>
              </w:rPr>
              <w:t xml:space="preserve">73061100, </w:t>
            </w:r>
            <w:r>
              <w:rPr>
                <w:sz w:val="22"/>
              </w:rPr>
              <w:t>73061900, 73062100, 73062900, 73063012, 73063018, 73063080, 73064020, 73064080, 73065021, 73065029, 73065080, 73066910, 73066990, 73069000</w:t>
            </w:r>
          </w:p>
        </w:tc>
      </w:tr>
    </w:tbl>
    <w:p w14:paraId="1F016F82" w14:textId="77777777" w:rsidR="00A91FAA" w:rsidRDefault="00A91FAA">
      <w:pPr>
        <w:jc w:val="left"/>
        <w:rPr>
          <w:b/>
          <w:bCs/>
          <w:color w:val="000000"/>
        </w:rPr>
      </w:pPr>
    </w:p>
    <w:sectPr w:rsidR="00A91FA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76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8340" w14:textId="77777777" w:rsidR="00000000" w:rsidRDefault="008B196A">
      <w:pPr>
        <w:spacing w:after="0" w:line="240" w:lineRule="auto"/>
      </w:pPr>
      <w:r>
        <w:separator/>
      </w:r>
    </w:p>
  </w:endnote>
  <w:endnote w:type="continuationSeparator" w:id="0">
    <w:p w14:paraId="66E0DD48" w14:textId="77777777" w:rsidR="00000000" w:rsidRDefault="008B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21A1" w14:textId="77777777" w:rsidR="0002515B" w:rsidRDefault="008B196A">
    <w:pPr>
      <w:pStyle w:val="Footer"/>
      <w:jc w:val="right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635141A" w14:textId="77777777" w:rsidR="0002515B" w:rsidRDefault="008B1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66EA" w14:textId="77777777" w:rsidR="0002515B" w:rsidRDefault="008B196A">
    <w:pPr>
      <w:pStyle w:val="Footer"/>
      <w:jc w:val="right"/>
    </w:pPr>
    <w:r>
      <w:t xml:space="preserve">Page |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6E6D7F3" w14:textId="77777777" w:rsidR="0002515B" w:rsidRDefault="008B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E71" w14:textId="77777777" w:rsidR="00000000" w:rsidRDefault="008B19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61989E" w14:textId="77777777" w:rsidR="00000000" w:rsidRDefault="008B196A">
      <w:pPr>
        <w:spacing w:after="0" w:line="240" w:lineRule="auto"/>
      </w:pPr>
      <w:r>
        <w:continuationSeparator/>
      </w:r>
    </w:p>
  </w:footnote>
  <w:footnote w:id="1">
    <w:p w14:paraId="285D5D2E" w14:textId="77777777" w:rsidR="00A91FAA" w:rsidRDefault="008B196A">
      <w:pPr>
        <w:pStyle w:val="FootnoteText"/>
      </w:pPr>
      <w:r>
        <w:rPr>
          <w:rStyle w:val="FootnoteReference"/>
        </w:rPr>
        <w:footnoteRef/>
      </w:r>
      <w:r>
        <w:t xml:space="preserve"> S.I. 2019/449.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132B" w14:textId="77777777" w:rsidR="0002515B" w:rsidRDefault="008B19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77B6" w14:textId="77777777" w:rsidR="0002515B" w:rsidRDefault="008B196A">
    <w:pPr>
      <w:pStyle w:val="NoSpacing"/>
    </w:pPr>
    <w:r>
      <w:rPr>
        <w:rFonts w:ascii="Arial" w:hAnsi="Arial"/>
        <w:noProof/>
        <w:color w:val="1F497D"/>
        <w:sz w:val="52"/>
        <w:szCs w:val="52"/>
        <w:lang w:eastAsia="en-GB"/>
      </w:rPr>
      <w:drawing>
        <wp:anchor distT="0" distB="0" distL="114300" distR="114300" simplePos="0" relativeHeight="251659264" behindDoc="0" locked="0" layoutInCell="1" allowOverlap="1" wp14:anchorId="3A19F6B2" wp14:editId="1119DDC4">
          <wp:simplePos x="0" y="0"/>
          <wp:positionH relativeFrom="column">
            <wp:posOffset>4779788</wp:posOffset>
          </wp:positionH>
          <wp:positionV relativeFrom="paragraph">
            <wp:posOffset>-52367</wp:posOffset>
          </wp:positionV>
          <wp:extent cx="1408432" cy="795656"/>
          <wp:effectExtent l="0" t="0" r="1268" b="4444"/>
          <wp:wrapTight wrapText="bothSides">
            <wp:wrapPolygon edited="0">
              <wp:start x="0" y="0"/>
              <wp:lineTo x="0" y="21203"/>
              <wp:lineTo x="10518" y="21203"/>
              <wp:lineTo x="12270" y="21203"/>
              <wp:lineTo x="12855" y="17583"/>
              <wp:lineTo x="21327" y="15515"/>
              <wp:lineTo x="21327" y="10860"/>
              <wp:lineTo x="5551" y="8275"/>
              <wp:lineTo x="6720" y="7757"/>
              <wp:lineTo x="6427" y="1551"/>
              <wp:lineTo x="4674" y="0"/>
              <wp:lineTo x="0" y="0"/>
            </wp:wrapPolygon>
          </wp:wrapTight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2" cy="7956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16A67FE" w14:textId="77777777" w:rsidR="0002515B" w:rsidRDefault="008B196A">
    <w:pPr>
      <w:pStyle w:val="NoSpacing"/>
      <w:rPr>
        <w:sz w:val="24"/>
        <w:szCs w:val="24"/>
      </w:rPr>
    </w:pPr>
  </w:p>
  <w:p w14:paraId="7A24643F" w14:textId="77777777" w:rsidR="0002515B" w:rsidRDefault="008B196A">
    <w:pPr>
      <w:pStyle w:val="NoSpacing"/>
      <w:rPr>
        <w:sz w:val="24"/>
        <w:szCs w:val="24"/>
      </w:rPr>
    </w:pPr>
  </w:p>
  <w:p w14:paraId="6126B115" w14:textId="77777777" w:rsidR="0002515B" w:rsidRDefault="008B196A">
    <w:pPr>
      <w:jc w:val="right"/>
      <w:rPr>
        <w:b/>
        <w:szCs w:val="24"/>
      </w:rPr>
    </w:pPr>
  </w:p>
  <w:p w14:paraId="2464578F" w14:textId="77777777" w:rsidR="0002515B" w:rsidRDefault="008B1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C1D"/>
    <w:multiLevelType w:val="multilevel"/>
    <w:tmpl w:val="41A4C2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5D2E1C"/>
    <w:multiLevelType w:val="multilevel"/>
    <w:tmpl w:val="485C57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6A81B3F"/>
    <w:multiLevelType w:val="multilevel"/>
    <w:tmpl w:val="0F0C96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CD6469"/>
    <w:multiLevelType w:val="multilevel"/>
    <w:tmpl w:val="D51E58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161E44"/>
    <w:multiLevelType w:val="multilevel"/>
    <w:tmpl w:val="7F624D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651CC2"/>
    <w:multiLevelType w:val="multilevel"/>
    <w:tmpl w:val="F56480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91087436">
    <w:abstractNumId w:val="2"/>
  </w:num>
  <w:num w:numId="2" w16cid:durableId="1763648485">
    <w:abstractNumId w:val="4"/>
  </w:num>
  <w:num w:numId="3" w16cid:durableId="53356230">
    <w:abstractNumId w:val="3"/>
  </w:num>
  <w:num w:numId="4" w16cid:durableId="2042709017">
    <w:abstractNumId w:val="0"/>
  </w:num>
  <w:num w:numId="5" w16cid:durableId="10374522">
    <w:abstractNumId w:val="5"/>
  </w:num>
  <w:num w:numId="6" w16cid:durableId="1829980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1FAA"/>
    <w:rsid w:val="008B196A"/>
    <w:rsid w:val="00A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03A0F"/>
  <w15:docId w15:val="{0433F355-42AB-4F52-95F1-629A75E6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ascii="Arial" w:eastAsia="Yu Mincho" w:hAnsi="Arial"/>
      <w:kern w:val="0"/>
      <w:sz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Yu Gothic Light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libri Light" w:eastAsia="Yu Gothic Light" w:hAnsi="Calibri Light" w:cs="Times New Roman"/>
      <w:color w:val="2F5496"/>
      <w:kern w:val="0"/>
      <w:sz w:val="26"/>
      <w:szCs w:val="26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Arial" w:eastAsia="Yu Mincho" w:hAnsi="Arial"/>
      <w:kern w:val="0"/>
      <w:sz w:val="24"/>
      <w:lang w:eastAsia="ja-JP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Arial" w:eastAsia="Yu Mincho" w:hAnsi="Arial"/>
      <w:kern w:val="0"/>
      <w:sz w:val="24"/>
      <w:lang w:eastAsia="ja-JP"/>
    </w:rPr>
  </w:style>
  <w:style w:type="paragraph" w:styleId="NoSpacing">
    <w:name w:val="No Spacing"/>
    <w:pPr>
      <w:suppressAutoHyphens/>
      <w:spacing w:after="0" w:line="240" w:lineRule="auto"/>
    </w:pPr>
    <w:rPr>
      <w:rFonts w:eastAsia="Yu Mincho"/>
      <w:kern w:val="0"/>
      <w:sz w:val="21"/>
      <w:szCs w:val="21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Yu Mincho" w:hAnsi="Arial"/>
      <w:kern w:val="0"/>
      <w:sz w:val="20"/>
      <w:szCs w:val="20"/>
      <w:lang w:eastAsia="ja-JP"/>
    </w:rPr>
  </w:style>
  <w:style w:type="character" w:customStyle="1" w:styleId="eop">
    <w:name w:val="eop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rFonts w:ascii="Arial" w:eastAsia="Yu Mincho" w:hAnsi="Arial"/>
      <w:kern w:val="0"/>
      <w:sz w:val="20"/>
      <w:szCs w:val="20"/>
      <w:lang w:eastAsia="ja-JP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normaltextrun">
    <w:name w:val="normaltextrun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Yu Mincho" w:hAnsi="Arial"/>
      <w:b/>
      <w:bCs/>
      <w:kern w:val="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rPr>
      <w:rFonts w:ascii="Arial" w:eastAsia="Yu Mincho" w:hAnsi="Arial"/>
      <w:b/>
      <w:bCs/>
      <w:kern w:val="0"/>
      <w:sz w:val="24"/>
      <w:lang w:eastAsia="ja-JP"/>
    </w:rPr>
  </w:style>
  <w:style w:type="character" w:styleId="Mention">
    <w:name w:val="Mention"/>
    <w:basedOn w:val="DefaultParagraphFont"/>
    <w:rPr>
      <w:color w:val="2B579A"/>
      <w:shd w:val="clear" w:color="auto" w:fill="E1DFDD"/>
    </w:rPr>
  </w:style>
  <w:style w:type="paragraph" w:styleId="Revision">
    <w:name w:val="Revision"/>
    <w:pPr>
      <w:suppressAutoHyphens/>
      <w:spacing w:after="0" w:line="240" w:lineRule="auto"/>
    </w:pPr>
    <w:rPr>
      <w:rFonts w:ascii="Arial" w:eastAsia="Yu Mincho" w:hAnsi="Arial"/>
      <w:kern w:val="0"/>
      <w:sz w:val="24"/>
      <w:lang w:eastAsia="ja-JP"/>
    </w:r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rade-remedies-notices-tariff-rate-quotas-on-steel-goods/trade-remedies-notice-202202-safeguard-measure-tariff-rate-quota-on-steel-goods" TargetMode="External"/><Relationship Id="rId13" Type="http://schemas.openxmlformats.org/officeDocument/2006/relationships/hyperlink" Target="https://gbr01.safelinks.protection.outlook.com/?url=https%3A%2F%2Fwww.gov.uk%2Fgovernment%2Fpublications%2Fthe-uk-trade-remedies-investigations-process%2Fmeetings-hearings-and-visits%23hearings-during-an-investigation-or-review&amp;data=02|01||b6ce4160b6c1427fc6ad08d83d2b68f9|6d05c46229564ec4a0d4480181c849f9|0|0|637326603938191842&amp;sdata=cnjIMFqQBn2SWAmFjWhj1OTOoK7jZGL9ySxXSiix8qI%3D&amp;reserved=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government/publications/trade-remedies-notices-tariff-rate-quotas-on-steel-goods/trade-remedies-notice-202201-safeguard-measure-tariff-rate-quota-on-steel-goods" TargetMode="External"/><Relationship Id="rId12" Type="http://schemas.openxmlformats.org/officeDocument/2006/relationships/hyperlink" Target="https://www.trade-remedies.service.gov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de-remedies.service.gov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the-uk-trade-remedies-investigations-process/an-introduction-to-our-investigations-process#confidential-information-and-non-confidential-summaries" TargetMode="External"/><Relationship Id="rId10" Type="http://schemas.openxmlformats.org/officeDocument/2006/relationships/hyperlink" Target="https://www.gov.uk/government/publications/trade-remedies-notices-tariff-rate-quotas-on-steel-goods/trade-remedies-notice-202311-safeguard-measure-tariff-rate-quota-on-steel-goo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rade-remedies-notices-tariff-rate-quotas-on-steel-goods/trade-remedies-notice-202310-safeguard-measure-tariff-rate-quota-on-steel-goods" TargetMode="External"/><Relationship Id="rId14" Type="http://schemas.openxmlformats.org/officeDocument/2006/relationships/hyperlink" Target="https://www.gov.uk/government/publications/the-uk-trade-remedies-investigations-process/how-we-carry-out-a-safeguards-investigation#reviewing-safeguard-measur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8767</Characters>
  <Application>Microsoft Office Word</Application>
  <DocSecurity>0</DocSecurity>
  <Lines>73</Lines>
  <Paragraphs>20</Paragraphs>
  <ScaleCrop>false</ScaleCrop>
  <Company>European Commission 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BLASCO Gemma (TRADE)</dc:creator>
  <dc:description/>
  <cp:lastModifiedBy>SERRA BLASCO Gemma (TRADE)</cp:lastModifiedBy>
  <cp:revision>2</cp:revision>
  <cp:lastPrinted>2023-09-06T13:26:00Z</cp:lastPrinted>
  <dcterms:created xsi:type="dcterms:W3CDTF">2023-09-06T13:50:00Z</dcterms:created>
  <dcterms:modified xsi:type="dcterms:W3CDTF">2023-09-06T13:50:00Z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2023-09-06T13:26:28Z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6379aea2-c12a-45ab-bbed-34836955988b</vt:lpwstr>
  </property>
  <property fmtid="{D5CDD505-2E9C-101B-9397-08002B2CF9AE}" pid="8" name="MSIP_Label_6bd9ddd1-4d20-43f6-abfa-fc3c07406f94_ContentBits">
    <vt:lpwstr>0</vt:lpwstr>
  </property>
</Properties>
</file>