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EC" w:rsidRPr="001947D1" w:rsidRDefault="002B6221">
      <w:pPr>
        <w:rPr>
          <w:b/>
          <w:bCs/>
        </w:rPr>
      </w:pPr>
      <w:r w:rsidRPr="001947D1">
        <w:rPr>
          <w:b/>
          <w:bCs/>
        </w:rPr>
        <w:t>The Arab Republic of Egypt</w:t>
      </w:r>
    </w:p>
    <w:p w:rsidR="002B6221" w:rsidRPr="001947D1" w:rsidRDefault="002B6221">
      <w:pPr>
        <w:rPr>
          <w:b/>
          <w:bCs/>
        </w:rPr>
      </w:pPr>
      <w:r w:rsidRPr="001947D1">
        <w:rPr>
          <w:b/>
          <w:bCs/>
        </w:rPr>
        <w:t>The Ministry of Trade and Industry</w:t>
      </w:r>
    </w:p>
    <w:p w:rsidR="002B6221" w:rsidRPr="001947D1" w:rsidRDefault="002B6221" w:rsidP="00F045C0">
      <w:pPr>
        <w:rPr>
          <w:b/>
          <w:bCs/>
        </w:rPr>
      </w:pPr>
      <w:r w:rsidRPr="001947D1">
        <w:rPr>
          <w:b/>
          <w:bCs/>
        </w:rPr>
        <w:t>Commercial Remed</w:t>
      </w:r>
      <w:r w:rsidR="00F045C0">
        <w:rPr>
          <w:b/>
          <w:bCs/>
        </w:rPr>
        <w:t>ies</w:t>
      </w:r>
      <w:r w:rsidRPr="001947D1">
        <w:rPr>
          <w:b/>
          <w:bCs/>
        </w:rPr>
        <w:t xml:space="preserve"> Sector</w:t>
      </w:r>
    </w:p>
    <w:p w:rsidR="002B6221" w:rsidRDefault="002B6221"/>
    <w:p w:rsidR="00D31A36" w:rsidRDefault="00D31A36"/>
    <w:p w:rsidR="00D31A36" w:rsidRDefault="00D31A36"/>
    <w:p w:rsidR="00D31A36" w:rsidRDefault="00D31A36"/>
    <w:p w:rsidR="00D31A36" w:rsidRDefault="00D31A36"/>
    <w:p w:rsidR="00D31A36" w:rsidRDefault="00D31A36"/>
    <w:p w:rsidR="002B6221" w:rsidRDefault="00F045C0" w:rsidP="00F045C0">
      <w:pPr>
        <w:jc w:val="center"/>
        <w:rPr>
          <w:b/>
          <w:bCs/>
        </w:rPr>
      </w:pPr>
      <w:r>
        <w:rPr>
          <w:b/>
          <w:bCs/>
        </w:rPr>
        <w:t>Report on</w:t>
      </w:r>
      <w:r w:rsidR="002B6221" w:rsidRPr="001947D1">
        <w:rPr>
          <w:b/>
          <w:bCs/>
        </w:rPr>
        <w:t xml:space="preserve"> fundamental facts and </w:t>
      </w:r>
      <w:r>
        <w:rPr>
          <w:b/>
          <w:bCs/>
        </w:rPr>
        <w:t>findings</w:t>
      </w:r>
      <w:r w:rsidR="002B6221" w:rsidRPr="001947D1">
        <w:rPr>
          <w:b/>
          <w:bCs/>
        </w:rPr>
        <w:t xml:space="preserve"> of investigations on safeguard measures against the </w:t>
      </w:r>
      <w:r>
        <w:rPr>
          <w:b/>
          <w:bCs/>
        </w:rPr>
        <w:t>increas</w:t>
      </w:r>
      <w:r w:rsidR="002B6221" w:rsidRPr="001947D1">
        <w:rPr>
          <w:b/>
          <w:bCs/>
        </w:rPr>
        <w:t xml:space="preserve">e of </w:t>
      </w:r>
      <w:r w:rsidRPr="001947D1">
        <w:rPr>
          <w:b/>
          <w:bCs/>
        </w:rPr>
        <w:t>imports</w:t>
      </w:r>
      <w:r>
        <w:rPr>
          <w:b/>
          <w:bCs/>
        </w:rPr>
        <w:t xml:space="preserve"> of</w:t>
      </w:r>
      <w:r w:rsidRPr="001947D1">
        <w:rPr>
          <w:b/>
          <w:bCs/>
        </w:rPr>
        <w:t xml:space="preserve"> </w:t>
      </w:r>
      <w:r w:rsidR="002B6221" w:rsidRPr="001947D1">
        <w:rPr>
          <w:b/>
          <w:bCs/>
        </w:rPr>
        <w:t xml:space="preserve">Aluminum </w:t>
      </w:r>
      <w:r w:rsidR="009E24DB" w:rsidRPr="001947D1">
        <w:rPr>
          <w:b/>
          <w:bCs/>
        </w:rPr>
        <w:t>products</w:t>
      </w:r>
      <w:r w:rsidRPr="00F045C0">
        <w:rPr>
          <w:b/>
          <w:bCs/>
        </w:rPr>
        <w:t xml:space="preserve"> </w:t>
      </w:r>
    </w:p>
    <w:p w:rsidR="00D31A36" w:rsidRDefault="00D31A36" w:rsidP="001947D1">
      <w:pPr>
        <w:jc w:val="center"/>
        <w:rPr>
          <w:b/>
          <w:bCs/>
        </w:rPr>
      </w:pPr>
    </w:p>
    <w:p w:rsidR="00D31A36" w:rsidRDefault="00D31A36" w:rsidP="001947D1">
      <w:pPr>
        <w:jc w:val="center"/>
        <w:rPr>
          <w:b/>
          <w:bCs/>
        </w:rPr>
      </w:pPr>
    </w:p>
    <w:p w:rsidR="00D31A36" w:rsidRDefault="00D31A36" w:rsidP="001947D1">
      <w:pPr>
        <w:jc w:val="center"/>
        <w:rPr>
          <w:b/>
          <w:bCs/>
        </w:rPr>
      </w:pPr>
    </w:p>
    <w:p w:rsidR="00D31A36" w:rsidRDefault="00D31A36" w:rsidP="001947D1">
      <w:pPr>
        <w:jc w:val="center"/>
        <w:rPr>
          <w:b/>
          <w:bCs/>
        </w:rPr>
      </w:pPr>
    </w:p>
    <w:p w:rsidR="00D31A36" w:rsidRDefault="00D31A36" w:rsidP="001947D1">
      <w:pPr>
        <w:jc w:val="center"/>
        <w:rPr>
          <w:b/>
          <w:bCs/>
        </w:rPr>
      </w:pPr>
    </w:p>
    <w:p w:rsidR="00D31A36" w:rsidRDefault="00D31A36" w:rsidP="001947D1">
      <w:pPr>
        <w:jc w:val="center"/>
        <w:rPr>
          <w:b/>
          <w:bCs/>
        </w:rPr>
      </w:pPr>
    </w:p>
    <w:p w:rsidR="00D31A36" w:rsidRPr="001947D1" w:rsidRDefault="00D31A36" w:rsidP="001947D1">
      <w:pPr>
        <w:jc w:val="center"/>
        <w:rPr>
          <w:b/>
          <w:bCs/>
        </w:rPr>
      </w:pPr>
    </w:p>
    <w:p w:rsidR="009E24DB" w:rsidRPr="001947D1" w:rsidRDefault="009E24DB" w:rsidP="001947D1">
      <w:pPr>
        <w:jc w:val="center"/>
        <w:rPr>
          <w:b/>
          <w:bCs/>
        </w:rPr>
      </w:pPr>
      <w:r w:rsidRPr="001947D1">
        <w:rPr>
          <w:b/>
          <w:bCs/>
        </w:rPr>
        <w:t>(Non-confidential text)</w:t>
      </w:r>
    </w:p>
    <w:p w:rsidR="009E24DB" w:rsidRPr="001947D1" w:rsidRDefault="009E24DB" w:rsidP="001947D1">
      <w:pPr>
        <w:jc w:val="center"/>
        <w:rPr>
          <w:b/>
          <w:bCs/>
        </w:rPr>
      </w:pPr>
      <w:r w:rsidRPr="001947D1">
        <w:rPr>
          <w:b/>
          <w:bCs/>
        </w:rPr>
        <w:t>February 2021</w:t>
      </w:r>
    </w:p>
    <w:p w:rsidR="009E24DB" w:rsidRDefault="009E24DB"/>
    <w:p w:rsidR="009E24DB" w:rsidRDefault="009E24DB"/>
    <w:p w:rsidR="009E24DB" w:rsidRDefault="009E24DB"/>
    <w:p w:rsidR="009E24DB" w:rsidRDefault="009E24DB"/>
    <w:p w:rsidR="009E24DB" w:rsidRDefault="009E24DB"/>
    <w:p w:rsidR="00D31A36" w:rsidRDefault="00D31A36"/>
    <w:p w:rsidR="009E24DB" w:rsidRPr="00D31A36" w:rsidRDefault="009E24DB" w:rsidP="00D31A36">
      <w:pPr>
        <w:jc w:val="center"/>
        <w:rPr>
          <w:b/>
          <w:bCs/>
        </w:rPr>
      </w:pPr>
      <w:r w:rsidRPr="00D31A36">
        <w:rPr>
          <w:b/>
          <w:bCs/>
        </w:rPr>
        <w:lastRenderedPageBreak/>
        <w:t>Index</w:t>
      </w:r>
    </w:p>
    <w:tbl>
      <w:tblPr>
        <w:tblStyle w:val="TableGrid"/>
        <w:tblW w:w="0" w:type="auto"/>
        <w:tblLook w:val="04A0" w:firstRow="1" w:lastRow="0" w:firstColumn="1" w:lastColumn="0" w:noHBand="0" w:noVBand="1"/>
      </w:tblPr>
      <w:tblGrid>
        <w:gridCol w:w="828"/>
        <w:gridCol w:w="7920"/>
        <w:gridCol w:w="828"/>
      </w:tblGrid>
      <w:tr w:rsidR="009E24DB" w:rsidTr="009E24DB">
        <w:tc>
          <w:tcPr>
            <w:tcW w:w="828" w:type="dxa"/>
          </w:tcPr>
          <w:p w:rsidR="009E24DB" w:rsidRPr="006A419B" w:rsidRDefault="009E24DB" w:rsidP="004A31AF">
            <w:pPr>
              <w:jc w:val="center"/>
              <w:rPr>
                <w:b/>
                <w:bCs/>
              </w:rPr>
            </w:pPr>
            <w:r w:rsidRPr="006A419B">
              <w:rPr>
                <w:b/>
                <w:bCs/>
              </w:rPr>
              <w:t>1</w:t>
            </w:r>
          </w:p>
        </w:tc>
        <w:tc>
          <w:tcPr>
            <w:tcW w:w="7920" w:type="dxa"/>
          </w:tcPr>
          <w:p w:rsidR="009E24DB" w:rsidRPr="00E0299A" w:rsidRDefault="009E24DB" w:rsidP="004A31AF">
            <w:pPr>
              <w:jc w:val="center"/>
              <w:rPr>
                <w:b/>
                <w:bCs/>
              </w:rPr>
            </w:pPr>
            <w:r w:rsidRPr="00E0299A">
              <w:rPr>
                <w:b/>
                <w:bCs/>
              </w:rPr>
              <w:t>Measures</w:t>
            </w:r>
          </w:p>
        </w:tc>
        <w:tc>
          <w:tcPr>
            <w:tcW w:w="828" w:type="dxa"/>
          </w:tcPr>
          <w:p w:rsidR="009E24DB" w:rsidRPr="006A419B" w:rsidRDefault="009E24DB" w:rsidP="004A31AF">
            <w:pPr>
              <w:jc w:val="center"/>
              <w:rPr>
                <w:b/>
                <w:bCs/>
              </w:rPr>
            </w:pPr>
            <w:r w:rsidRPr="006A419B">
              <w:rPr>
                <w:b/>
                <w:bCs/>
              </w:rPr>
              <w:t>1</w:t>
            </w:r>
          </w:p>
        </w:tc>
      </w:tr>
      <w:tr w:rsidR="009E24DB" w:rsidTr="009E24DB">
        <w:tc>
          <w:tcPr>
            <w:tcW w:w="828" w:type="dxa"/>
          </w:tcPr>
          <w:p w:rsidR="009E24DB" w:rsidRPr="006A419B" w:rsidRDefault="009E24DB" w:rsidP="004A31AF">
            <w:pPr>
              <w:jc w:val="center"/>
              <w:rPr>
                <w:b/>
                <w:bCs/>
              </w:rPr>
            </w:pPr>
            <w:r w:rsidRPr="006A419B">
              <w:rPr>
                <w:b/>
                <w:bCs/>
              </w:rPr>
              <w:t>1-1</w:t>
            </w:r>
          </w:p>
        </w:tc>
        <w:tc>
          <w:tcPr>
            <w:tcW w:w="7920" w:type="dxa"/>
          </w:tcPr>
          <w:p w:rsidR="009E24DB" w:rsidRPr="00E0299A" w:rsidRDefault="009E24DB" w:rsidP="004A31AF">
            <w:pPr>
              <w:jc w:val="center"/>
              <w:rPr>
                <w:b/>
                <w:bCs/>
              </w:rPr>
            </w:pPr>
            <w:r w:rsidRPr="00E0299A">
              <w:rPr>
                <w:b/>
                <w:bCs/>
              </w:rPr>
              <w:t>Introduction</w:t>
            </w:r>
          </w:p>
        </w:tc>
        <w:tc>
          <w:tcPr>
            <w:tcW w:w="828" w:type="dxa"/>
          </w:tcPr>
          <w:p w:rsidR="009E24DB" w:rsidRPr="006A419B" w:rsidRDefault="009E24DB" w:rsidP="004A31AF">
            <w:pPr>
              <w:jc w:val="center"/>
              <w:rPr>
                <w:b/>
                <w:bCs/>
              </w:rPr>
            </w:pPr>
            <w:r w:rsidRPr="006A419B">
              <w:rPr>
                <w:b/>
                <w:bCs/>
              </w:rPr>
              <w:t>1</w:t>
            </w:r>
          </w:p>
        </w:tc>
      </w:tr>
      <w:tr w:rsidR="009E24DB" w:rsidTr="009E24DB">
        <w:tc>
          <w:tcPr>
            <w:tcW w:w="828" w:type="dxa"/>
          </w:tcPr>
          <w:p w:rsidR="009E24DB" w:rsidRDefault="009E24DB" w:rsidP="004A31AF">
            <w:pPr>
              <w:jc w:val="center"/>
            </w:pPr>
            <w:r>
              <w:t>1-2</w:t>
            </w:r>
          </w:p>
        </w:tc>
        <w:tc>
          <w:tcPr>
            <w:tcW w:w="7920" w:type="dxa"/>
          </w:tcPr>
          <w:p w:rsidR="009E24DB" w:rsidRDefault="009E24DB" w:rsidP="004A31AF">
            <w:pPr>
              <w:jc w:val="center"/>
            </w:pPr>
            <w:r>
              <w:t>Concerned parties</w:t>
            </w:r>
          </w:p>
        </w:tc>
        <w:tc>
          <w:tcPr>
            <w:tcW w:w="828" w:type="dxa"/>
          </w:tcPr>
          <w:p w:rsidR="009E24DB" w:rsidRDefault="009E24DB" w:rsidP="004A31AF">
            <w:pPr>
              <w:jc w:val="center"/>
            </w:pPr>
            <w:r>
              <w:t>3</w:t>
            </w:r>
          </w:p>
        </w:tc>
      </w:tr>
      <w:tr w:rsidR="009E24DB" w:rsidTr="009E24DB">
        <w:tc>
          <w:tcPr>
            <w:tcW w:w="828" w:type="dxa"/>
          </w:tcPr>
          <w:p w:rsidR="009E24DB" w:rsidRDefault="009E24DB" w:rsidP="004A31AF">
            <w:pPr>
              <w:jc w:val="center"/>
            </w:pPr>
            <w:r>
              <w:t>1-3</w:t>
            </w:r>
          </w:p>
        </w:tc>
        <w:tc>
          <w:tcPr>
            <w:tcW w:w="7920" w:type="dxa"/>
          </w:tcPr>
          <w:p w:rsidR="009E24DB" w:rsidRDefault="009E24DB" w:rsidP="004A31AF">
            <w:pPr>
              <w:jc w:val="center"/>
            </w:pPr>
            <w:r>
              <w:t>Product subject of investigation</w:t>
            </w:r>
          </w:p>
        </w:tc>
        <w:tc>
          <w:tcPr>
            <w:tcW w:w="828" w:type="dxa"/>
          </w:tcPr>
          <w:p w:rsidR="009E24DB" w:rsidRDefault="009E24DB" w:rsidP="004A31AF">
            <w:pPr>
              <w:jc w:val="center"/>
            </w:pPr>
            <w:r>
              <w:t>4</w:t>
            </w:r>
          </w:p>
        </w:tc>
      </w:tr>
      <w:tr w:rsidR="009E24DB" w:rsidTr="009E24DB">
        <w:tc>
          <w:tcPr>
            <w:tcW w:w="828" w:type="dxa"/>
          </w:tcPr>
          <w:p w:rsidR="009E24DB" w:rsidRDefault="009E24DB" w:rsidP="004A31AF">
            <w:pPr>
              <w:jc w:val="center"/>
            </w:pPr>
            <w:r>
              <w:t>1-4</w:t>
            </w:r>
          </w:p>
        </w:tc>
        <w:tc>
          <w:tcPr>
            <w:tcW w:w="7920" w:type="dxa"/>
          </w:tcPr>
          <w:p w:rsidR="009E24DB" w:rsidRDefault="009E24DB" w:rsidP="004A31AF">
            <w:pPr>
              <w:jc w:val="center"/>
            </w:pPr>
            <w:r>
              <w:t>Details of investigation</w:t>
            </w:r>
          </w:p>
        </w:tc>
        <w:tc>
          <w:tcPr>
            <w:tcW w:w="828" w:type="dxa"/>
          </w:tcPr>
          <w:p w:rsidR="009E24DB" w:rsidRDefault="009E24DB" w:rsidP="004A31AF">
            <w:pPr>
              <w:jc w:val="center"/>
            </w:pPr>
            <w:r>
              <w:t>4</w:t>
            </w:r>
          </w:p>
        </w:tc>
      </w:tr>
      <w:tr w:rsidR="009E24DB" w:rsidTr="009E24DB">
        <w:tc>
          <w:tcPr>
            <w:tcW w:w="828" w:type="dxa"/>
          </w:tcPr>
          <w:p w:rsidR="009E24DB" w:rsidRDefault="009E24DB" w:rsidP="004A31AF">
            <w:pPr>
              <w:jc w:val="center"/>
            </w:pPr>
            <w:r>
              <w:t>1-5</w:t>
            </w:r>
          </w:p>
        </w:tc>
        <w:tc>
          <w:tcPr>
            <w:tcW w:w="7920" w:type="dxa"/>
          </w:tcPr>
          <w:p w:rsidR="009E24DB" w:rsidRDefault="00F045C0" w:rsidP="004A31AF">
            <w:pPr>
              <w:jc w:val="center"/>
            </w:pPr>
            <w:r>
              <w:t>Disclosure of</w:t>
            </w:r>
            <w:r w:rsidR="009E24DB">
              <w:t xml:space="preserve"> information</w:t>
            </w:r>
          </w:p>
        </w:tc>
        <w:tc>
          <w:tcPr>
            <w:tcW w:w="828" w:type="dxa"/>
          </w:tcPr>
          <w:p w:rsidR="009E24DB" w:rsidRDefault="009E24DB" w:rsidP="004A31AF">
            <w:pPr>
              <w:jc w:val="center"/>
            </w:pPr>
            <w:r>
              <w:t>4</w:t>
            </w:r>
          </w:p>
        </w:tc>
      </w:tr>
      <w:tr w:rsidR="009E24DB" w:rsidTr="009E24DB">
        <w:tc>
          <w:tcPr>
            <w:tcW w:w="828" w:type="dxa"/>
          </w:tcPr>
          <w:p w:rsidR="009E24DB" w:rsidRDefault="009E24DB" w:rsidP="004A31AF">
            <w:pPr>
              <w:jc w:val="center"/>
            </w:pPr>
            <w:r>
              <w:t>2</w:t>
            </w:r>
          </w:p>
        </w:tc>
        <w:tc>
          <w:tcPr>
            <w:tcW w:w="7920" w:type="dxa"/>
          </w:tcPr>
          <w:p w:rsidR="009E24DB" w:rsidRPr="00E0299A" w:rsidRDefault="009E24DB" w:rsidP="004A31AF">
            <w:pPr>
              <w:jc w:val="center"/>
              <w:rPr>
                <w:b/>
                <w:bCs/>
              </w:rPr>
            </w:pPr>
            <w:r w:rsidRPr="00E0299A">
              <w:rPr>
                <w:b/>
                <w:bCs/>
              </w:rPr>
              <w:t>Local industry and the similar product</w:t>
            </w:r>
          </w:p>
        </w:tc>
        <w:tc>
          <w:tcPr>
            <w:tcW w:w="828" w:type="dxa"/>
          </w:tcPr>
          <w:p w:rsidR="009E24DB" w:rsidRDefault="009E24DB" w:rsidP="004A31AF">
            <w:pPr>
              <w:jc w:val="center"/>
            </w:pPr>
            <w:r>
              <w:t>5</w:t>
            </w:r>
          </w:p>
        </w:tc>
      </w:tr>
      <w:tr w:rsidR="009E24DB" w:rsidTr="009E24DB">
        <w:tc>
          <w:tcPr>
            <w:tcW w:w="828" w:type="dxa"/>
          </w:tcPr>
          <w:p w:rsidR="009E24DB" w:rsidRDefault="009E24DB" w:rsidP="004A31AF">
            <w:pPr>
              <w:jc w:val="center"/>
            </w:pPr>
            <w:r>
              <w:t>2-1</w:t>
            </w:r>
          </w:p>
        </w:tc>
        <w:tc>
          <w:tcPr>
            <w:tcW w:w="7920" w:type="dxa"/>
          </w:tcPr>
          <w:p w:rsidR="009E24DB" w:rsidRDefault="00E0299A" w:rsidP="004A31AF">
            <w:pPr>
              <w:jc w:val="center"/>
            </w:pPr>
            <w:r>
              <w:t>Local industry</w:t>
            </w:r>
          </w:p>
        </w:tc>
        <w:tc>
          <w:tcPr>
            <w:tcW w:w="828" w:type="dxa"/>
          </w:tcPr>
          <w:p w:rsidR="009E24DB" w:rsidRDefault="00E0299A" w:rsidP="004A31AF">
            <w:pPr>
              <w:jc w:val="center"/>
            </w:pPr>
            <w:r>
              <w:t>5</w:t>
            </w:r>
          </w:p>
        </w:tc>
      </w:tr>
      <w:tr w:rsidR="00E0299A" w:rsidTr="009E24DB">
        <w:tc>
          <w:tcPr>
            <w:tcW w:w="828" w:type="dxa"/>
          </w:tcPr>
          <w:p w:rsidR="00E0299A" w:rsidRDefault="00E0299A" w:rsidP="004A31AF">
            <w:pPr>
              <w:jc w:val="center"/>
            </w:pPr>
            <w:r>
              <w:t>2-2</w:t>
            </w:r>
          </w:p>
        </w:tc>
        <w:tc>
          <w:tcPr>
            <w:tcW w:w="7920" w:type="dxa"/>
          </w:tcPr>
          <w:p w:rsidR="00E0299A" w:rsidRDefault="00E0299A" w:rsidP="004A31AF">
            <w:pPr>
              <w:jc w:val="center"/>
            </w:pPr>
            <w:r>
              <w:t>Similar/competitive product</w:t>
            </w:r>
          </w:p>
        </w:tc>
        <w:tc>
          <w:tcPr>
            <w:tcW w:w="828" w:type="dxa"/>
          </w:tcPr>
          <w:p w:rsidR="00E0299A" w:rsidRDefault="00E0299A" w:rsidP="004A31AF">
            <w:pPr>
              <w:jc w:val="center"/>
            </w:pPr>
            <w:r>
              <w:t>5</w:t>
            </w:r>
          </w:p>
        </w:tc>
      </w:tr>
      <w:tr w:rsidR="00E0299A" w:rsidTr="009E24DB">
        <w:tc>
          <w:tcPr>
            <w:tcW w:w="828" w:type="dxa"/>
          </w:tcPr>
          <w:p w:rsidR="00E0299A" w:rsidRDefault="00E0299A" w:rsidP="004A31AF">
            <w:pPr>
              <w:jc w:val="center"/>
            </w:pPr>
            <w:r>
              <w:t>2-3</w:t>
            </w:r>
          </w:p>
        </w:tc>
        <w:tc>
          <w:tcPr>
            <w:tcW w:w="7920" w:type="dxa"/>
          </w:tcPr>
          <w:p w:rsidR="00E0299A" w:rsidRDefault="00E0299A" w:rsidP="004A31AF">
            <w:pPr>
              <w:jc w:val="center"/>
            </w:pPr>
            <w:r>
              <w:t>Investigation period</w:t>
            </w:r>
          </w:p>
        </w:tc>
        <w:tc>
          <w:tcPr>
            <w:tcW w:w="828" w:type="dxa"/>
          </w:tcPr>
          <w:p w:rsidR="00E0299A" w:rsidRDefault="00E0299A" w:rsidP="004A31AF">
            <w:pPr>
              <w:jc w:val="center"/>
            </w:pPr>
            <w:r>
              <w:t>5</w:t>
            </w:r>
          </w:p>
        </w:tc>
      </w:tr>
      <w:tr w:rsidR="00E0299A" w:rsidTr="009E24DB">
        <w:tc>
          <w:tcPr>
            <w:tcW w:w="828" w:type="dxa"/>
          </w:tcPr>
          <w:p w:rsidR="00E0299A" w:rsidRPr="00EA5F84" w:rsidRDefault="00E0299A" w:rsidP="004A31AF">
            <w:pPr>
              <w:jc w:val="center"/>
              <w:rPr>
                <w:b/>
                <w:bCs/>
              </w:rPr>
            </w:pPr>
            <w:r w:rsidRPr="00EA5F84">
              <w:rPr>
                <w:b/>
                <w:bCs/>
              </w:rPr>
              <w:t>3</w:t>
            </w:r>
          </w:p>
        </w:tc>
        <w:tc>
          <w:tcPr>
            <w:tcW w:w="7920" w:type="dxa"/>
          </w:tcPr>
          <w:p w:rsidR="00E0299A" w:rsidRPr="00E0299A" w:rsidRDefault="00E0299A" w:rsidP="004A31AF">
            <w:pPr>
              <w:jc w:val="center"/>
              <w:rPr>
                <w:b/>
                <w:bCs/>
              </w:rPr>
            </w:pPr>
            <w:r w:rsidRPr="00E0299A">
              <w:rPr>
                <w:b/>
                <w:bCs/>
              </w:rPr>
              <w:t>Unexpe</w:t>
            </w:r>
            <w:r w:rsidR="00F045C0">
              <w:rPr>
                <w:b/>
                <w:bCs/>
              </w:rPr>
              <w:t>cted developments and the volume</w:t>
            </w:r>
            <w:r w:rsidRPr="00E0299A">
              <w:rPr>
                <w:b/>
                <w:bCs/>
              </w:rPr>
              <w:t xml:space="preserve"> of imports</w:t>
            </w:r>
          </w:p>
        </w:tc>
        <w:tc>
          <w:tcPr>
            <w:tcW w:w="828" w:type="dxa"/>
          </w:tcPr>
          <w:p w:rsidR="00E0299A" w:rsidRPr="00EA5F84" w:rsidRDefault="00E0299A" w:rsidP="004A31AF">
            <w:pPr>
              <w:jc w:val="center"/>
              <w:rPr>
                <w:b/>
                <w:bCs/>
              </w:rPr>
            </w:pPr>
            <w:r w:rsidRPr="00EA5F84">
              <w:rPr>
                <w:b/>
                <w:bCs/>
              </w:rPr>
              <w:t>6</w:t>
            </w:r>
          </w:p>
        </w:tc>
      </w:tr>
      <w:tr w:rsidR="00E0299A" w:rsidTr="009E24DB">
        <w:tc>
          <w:tcPr>
            <w:tcW w:w="828" w:type="dxa"/>
          </w:tcPr>
          <w:p w:rsidR="00E0299A" w:rsidRDefault="00E0299A" w:rsidP="004A31AF">
            <w:pPr>
              <w:jc w:val="center"/>
            </w:pPr>
            <w:r>
              <w:t>3-1</w:t>
            </w:r>
          </w:p>
        </w:tc>
        <w:tc>
          <w:tcPr>
            <w:tcW w:w="7920" w:type="dxa"/>
          </w:tcPr>
          <w:p w:rsidR="00E0299A" w:rsidRDefault="00E0299A" w:rsidP="004A31AF">
            <w:pPr>
              <w:jc w:val="center"/>
            </w:pPr>
            <w:r>
              <w:t>Unexpected developments</w:t>
            </w:r>
          </w:p>
        </w:tc>
        <w:tc>
          <w:tcPr>
            <w:tcW w:w="828" w:type="dxa"/>
          </w:tcPr>
          <w:p w:rsidR="00E0299A" w:rsidRDefault="00E0299A" w:rsidP="004A31AF">
            <w:pPr>
              <w:jc w:val="center"/>
            </w:pPr>
            <w:r>
              <w:t>6</w:t>
            </w:r>
          </w:p>
        </w:tc>
      </w:tr>
      <w:tr w:rsidR="00E0299A" w:rsidTr="009E24DB">
        <w:tc>
          <w:tcPr>
            <w:tcW w:w="828" w:type="dxa"/>
          </w:tcPr>
          <w:p w:rsidR="00E0299A" w:rsidRDefault="00E0299A" w:rsidP="004A31AF">
            <w:pPr>
              <w:jc w:val="center"/>
            </w:pPr>
            <w:r>
              <w:t>3-2</w:t>
            </w:r>
          </w:p>
        </w:tc>
        <w:tc>
          <w:tcPr>
            <w:tcW w:w="7920" w:type="dxa"/>
          </w:tcPr>
          <w:p w:rsidR="00E0299A" w:rsidRDefault="002D5235" w:rsidP="004A31AF">
            <w:pPr>
              <w:jc w:val="center"/>
            </w:pPr>
            <w:r>
              <w:t>volume</w:t>
            </w:r>
            <w:r w:rsidR="00E0299A">
              <w:t xml:space="preserve"> of imports</w:t>
            </w:r>
          </w:p>
        </w:tc>
        <w:tc>
          <w:tcPr>
            <w:tcW w:w="828" w:type="dxa"/>
          </w:tcPr>
          <w:p w:rsidR="00E0299A" w:rsidRDefault="00E0299A" w:rsidP="004A31AF">
            <w:pPr>
              <w:jc w:val="center"/>
            </w:pPr>
            <w:r>
              <w:t>7</w:t>
            </w:r>
          </w:p>
        </w:tc>
      </w:tr>
      <w:tr w:rsidR="00E0299A" w:rsidTr="009E24DB">
        <w:tc>
          <w:tcPr>
            <w:tcW w:w="828" w:type="dxa"/>
          </w:tcPr>
          <w:p w:rsidR="00E0299A" w:rsidRPr="007D5680" w:rsidRDefault="00E0299A" w:rsidP="004A31AF">
            <w:pPr>
              <w:jc w:val="center"/>
              <w:rPr>
                <w:b/>
                <w:bCs/>
              </w:rPr>
            </w:pPr>
            <w:r w:rsidRPr="007D5680">
              <w:rPr>
                <w:b/>
                <w:bCs/>
              </w:rPr>
              <w:t>4</w:t>
            </w:r>
          </w:p>
        </w:tc>
        <w:tc>
          <w:tcPr>
            <w:tcW w:w="7920" w:type="dxa"/>
          </w:tcPr>
          <w:p w:rsidR="00E0299A" w:rsidRPr="007D5680" w:rsidRDefault="00E0299A" w:rsidP="004A31AF">
            <w:pPr>
              <w:jc w:val="center"/>
              <w:rPr>
                <w:b/>
                <w:bCs/>
              </w:rPr>
            </w:pPr>
            <w:r w:rsidRPr="007D5680">
              <w:rPr>
                <w:b/>
                <w:bCs/>
              </w:rPr>
              <w:t>Substantial injury</w:t>
            </w:r>
          </w:p>
        </w:tc>
        <w:tc>
          <w:tcPr>
            <w:tcW w:w="828" w:type="dxa"/>
          </w:tcPr>
          <w:p w:rsidR="00E0299A" w:rsidRPr="007D5680" w:rsidRDefault="00E0299A" w:rsidP="004A31AF">
            <w:pPr>
              <w:jc w:val="center"/>
              <w:rPr>
                <w:b/>
                <w:bCs/>
              </w:rPr>
            </w:pPr>
            <w:r w:rsidRPr="007D5680">
              <w:rPr>
                <w:b/>
                <w:bCs/>
              </w:rPr>
              <w:t>8</w:t>
            </w:r>
          </w:p>
        </w:tc>
      </w:tr>
      <w:tr w:rsidR="00E0299A" w:rsidTr="009E24DB">
        <w:tc>
          <w:tcPr>
            <w:tcW w:w="828" w:type="dxa"/>
          </w:tcPr>
          <w:p w:rsidR="00E0299A" w:rsidRDefault="00E0299A" w:rsidP="004A31AF">
            <w:pPr>
              <w:jc w:val="center"/>
            </w:pPr>
            <w:r>
              <w:t>4-1</w:t>
            </w:r>
          </w:p>
        </w:tc>
        <w:tc>
          <w:tcPr>
            <w:tcW w:w="7920" w:type="dxa"/>
          </w:tcPr>
          <w:p w:rsidR="00E0299A" w:rsidRDefault="00E0299A" w:rsidP="004A31AF">
            <w:pPr>
              <w:jc w:val="center"/>
            </w:pPr>
            <w:r>
              <w:t>Introduction</w:t>
            </w:r>
          </w:p>
        </w:tc>
        <w:tc>
          <w:tcPr>
            <w:tcW w:w="828" w:type="dxa"/>
          </w:tcPr>
          <w:p w:rsidR="00E0299A" w:rsidRDefault="00E0299A" w:rsidP="004A31AF">
            <w:pPr>
              <w:jc w:val="center"/>
            </w:pPr>
            <w:r>
              <w:t>8</w:t>
            </w:r>
          </w:p>
        </w:tc>
      </w:tr>
      <w:tr w:rsidR="00E0299A" w:rsidTr="009E24DB">
        <w:tc>
          <w:tcPr>
            <w:tcW w:w="828" w:type="dxa"/>
          </w:tcPr>
          <w:p w:rsidR="00E0299A" w:rsidRDefault="00E0299A" w:rsidP="004A31AF">
            <w:pPr>
              <w:jc w:val="center"/>
            </w:pPr>
            <w:r>
              <w:t>4-2</w:t>
            </w:r>
          </w:p>
        </w:tc>
        <w:tc>
          <w:tcPr>
            <w:tcW w:w="7920" w:type="dxa"/>
          </w:tcPr>
          <w:p w:rsidR="00E0299A" w:rsidRDefault="00E0299A" w:rsidP="004A31AF">
            <w:pPr>
              <w:jc w:val="center"/>
            </w:pPr>
            <w:r>
              <w:t>Economic indexes</w:t>
            </w:r>
          </w:p>
        </w:tc>
        <w:tc>
          <w:tcPr>
            <w:tcW w:w="828" w:type="dxa"/>
          </w:tcPr>
          <w:p w:rsidR="00E0299A" w:rsidRDefault="00E0299A" w:rsidP="004A31AF">
            <w:pPr>
              <w:jc w:val="center"/>
            </w:pPr>
            <w:r>
              <w:t>8</w:t>
            </w:r>
          </w:p>
        </w:tc>
      </w:tr>
      <w:tr w:rsidR="00E0299A" w:rsidTr="009E24DB">
        <w:tc>
          <w:tcPr>
            <w:tcW w:w="828" w:type="dxa"/>
          </w:tcPr>
          <w:p w:rsidR="00E0299A" w:rsidRDefault="00E0299A" w:rsidP="004A31AF">
            <w:pPr>
              <w:jc w:val="center"/>
            </w:pPr>
            <w:r>
              <w:t>4-3</w:t>
            </w:r>
          </w:p>
        </w:tc>
        <w:tc>
          <w:tcPr>
            <w:tcW w:w="7920" w:type="dxa"/>
          </w:tcPr>
          <w:p w:rsidR="00E0299A" w:rsidRDefault="00E0299A" w:rsidP="004A31AF">
            <w:pPr>
              <w:jc w:val="center"/>
            </w:pPr>
            <w:r>
              <w:t>Produc</w:t>
            </w:r>
            <w:r w:rsidR="002D5235">
              <w:t>tion and</w:t>
            </w:r>
            <w:r w:rsidR="00373CE9">
              <w:t xml:space="preserve"> capacity</w:t>
            </w:r>
            <w:r w:rsidR="002D5235">
              <w:t xml:space="preserve"> utilization </w:t>
            </w:r>
          </w:p>
        </w:tc>
        <w:tc>
          <w:tcPr>
            <w:tcW w:w="828" w:type="dxa"/>
          </w:tcPr>
          <w:p w:rsidR="00E0299A" w:rsidRDefault="00E0299A" w:rsidP="004A31AF">
            <w:pPr>
              <w:jc w:val="center"/>
            </w:pPr>
            <w:r>
              <w:t>10</w:t>
            </w:r>
          </w:p>
        </w:tc>
      </w:tr>
      <w:tr w:rsidR="00E0299A" w:rsidTr="009E24DB">
        <w:tc>
          <w:tcPr>
            <w:tcW w:w="828" w:type="dxa"/>
          </w:tcPr>
          <w:p w:rsidR="00E0299A" w:rsidRDefault="00E0299A" w:rsidP="004A31AF">
            <w:pPr>
              <w:jc w:val="center"/>
            </w:pPr>
            <w:r>
              <w:t>4-4-</w:t>
            </w:r>
          </w:p>
        </w:tc>
        <w:tc>
          <w:tcPr>
            <w:tcW w:w="7920" w:type="dxa"/>
          </w:tcPr>
          <w:p w:rsidR="00E0299A" w:rsidRDefault="00E0299A" w:rsidP="004A31AF">
            <w:pPr>
              <w:jc w:val="center"/>
            </w:pPr>
            <w:proofErr w:type="spellStart"/>
            <w:r>
              <w:t>Labour</w:t>
            </w:r>
            <w:proofErr w:type="spellEnd"/>
            <w:r>
              <w:t xml:space="preserve"> and productivity</w:t>
            </w:r>
          </w:p>
        </w:tc>
        <w:tc>
          <w:tcPr>
            <w:tcW w:w="828" w:type="dxa"/>
          </w:tcPr>
          <w:p w:rsidR="00E0299A" w:rsidRDefault="00E0299A" w:rsidP="004A31AF">
            <w:pPr>
              <w:jc w:val="center"/>
            </w:pPr>
            <w:r>
              <w:t>10</w:t>
            </w:r>
          </w:p>
        </w:tc>
      </w:tr>
      <w:tr w:rsidR="00E0299A" w:rsidTr="009E24DB">
        <w:tc>
          <w:tcPr>
            <w:tcW w:w="828" w:type="dxa"/>
          </w:tcPr>
          <w:p w:rsidR="00E0299A" w:rsidRDefault="00E0299A" w:rsidP="004A31AF">
            <w:pPr>
              <w:jc w:val="center"/>
            </w:pPr>
            <w:r>
              <w:t>4-5</w:t>
            </w:r>
          </w:p>
        </w:tc>
        <w:tc>
          <w:tcPr>
            <w:tcW w:w="7920" w:type="dxa"/>
          </w:tcPr>
          <w:p w:rsidR="00E0299A" w:rsidRDefault="00E0299A" w:rsidP="004A31AF">
            <w:pPr>
              <w:jc w:val="center"/>
            </w:pPr>
            <w:r>
              <w:t>Profits and losses</w:t>
            </w:r>
          </w:p>
        </w:tc>
        <w:tc>
          <w:tcPr>
            <w:tcW w:w="828" w:type="dxa"/>
          </w:tcPr>
          <w:p w:rsidR="00E0299A" w:rsidRDefault="00E0299A" w:rsidP="004A31AF">
            <w:pPr>
              <w:jc w:val="center"/>
            </w:pPr>
            <w:r>
              <w:t>11</w:t>
            </w:r>
          </w:p>
        </w:tc>
      </w:tr>
      <w:tr w:rsidR="00E0299A" w:rsidTr="009E24DB">
        <w:tc>
          <w:tcPr>
            <w:tcW w:w="828" w:type="dxa"/>
          </w:tcPr>
          <w:p w:rsidR="00E0299A" w:rsidRDefault="00E0299A" w:rsidP="004A31AF">
            <w:pPr>
              <w:jc w:val="center"/>
            </w:pPr>
            <w:r>
              <w:t>4-6</w:t>
            </w:r>
          </w:p>
        </w:tc>
        <w:tc>
          <w:tcPr>
            <w:tcW w:w="7920" w:type="dxa"/>
          </w:tcPr>
          <w:p w:rsidR="00E0299A" w:rsidRDefault="000E3C0E" w:rsidP="003C5CA6">
            <w:pPr>
              <w:jc w:val="center"/>
            </w:pPr>
            <w:r>
              <w:t>Finding</w:t>
            </w:r>
            <w:r w:rsidR="003C5CA6">
              <w:t>s on</w:t>
            </w:r>
            <w:r w:rsidR="00E0299A">
              <w:t xml:space="preserve"> substantial injury</w:t>
            </w:r>
          </w:p>
        </w:tc>
        <w:tc>
          <w:tcPr>
            <w:tcW w:w="828" w:type="dxa"/>
          </w:tcPr>
          <w:p w:rsidR="00E0299A" w:rsidRDefault="005A4E34" w:rsidP="004A31AF">
            <w:pPr>
              <w:jc w:val="center"/>
            </w:pPr>
            <w:r>
              <w:t>12</w:t>
            </w:r>
          </w:p>
        </w:tc>
      </w:tr>
      <w:tr w:rsidR="005A4E34" w:rsidTr="009E24DB">
        <w:tc>
          <w:tcPr>
            <w:tcW w:w="828" w:type="dxa"/>
          </w:tcPr>
          <w:p w:rsidR="005A4E34" w:rsidRDefault="005A4E34" w:rsidP="004A31AF">
            <w:pPr>
              <w:jc w:val="center"/>
            </w:pPr>
            <w:r>
              <w:t>4-7</w:t>
            </w:r>
          </w:p>
        </w:tc>
        <w:tc>
          <w:tcPr>
            <w:tcW w:w="7920" w:type="dxa"/>
          </w:tcPr>
          <w:p w:rsidR="005A4E34" w:rsidRDefault="005A4E34" w:rsidP="004A31AF">
            <w:pPr>
              <w:jc w:val="center"/>
            </w:pPr>
            <w:r>
              <w:t>Other reasons of injury</w:t>
            </w:r>
          </w:p>
        </w:tc>
        <w:tc>
          <w:tcPr>
            <w:tcW w:w="828" w:type="dxa"/>
          </w:tcPr>
          <w:p w:rsidR="005A4E34" w:rsidRDefault="005A4E34" w:rsidP="004A31AF">
            <w:pPr>
              <w:jc w:val="center"/>
            </w:pPr>
            <w:r>
              <w:t>12</w:t>
            </w:r>
          </w:p>
        </w:tc>
      </w:tr>
      <w:tr w:rsidR="005A4E34" w:rsidTr="009E24DB">
        <w:tc>
          <w:tcPr>
            <w:tcW w:w="828" w:type="dxa"/>
          </w:tcPr>
          <w:p w:rsidR="005A4E34" w:rsidRPr="007D5680" w:rsidRDefault="005A4E34" w:rsidP="004A31AF">
            <w:pPr>
              <w:jc w:val="center"/>
              <w:rPr>
                <w:b/>
                <w:bCs/>
              </w:rPr>
            </w:pPr>
            <w:r w:rsidRPr="007D5680">
              <w:rPr>
                <w:b/>
                <w:bCs/>
              </w:rPr>
              <w:t>5</w:t>
            </w:r>
          </w:p>
        </w:tc>
        <w:tc>
          <w:tcPr>
            <w:tcW w:w="7920" w:type="dxa"/>
          </w:tcPr>
          <w:p w:rsidR="005A4E34" w:rsidRPr="007D5680" w:rsidRDefault="005A4E34" w:rsidP="003C5CA6">
            <w:pPr>
              <w:jc w:val="center"/>
              <w:rPr>
                <w:b/>
                <w:bCs/>
              </w:rPr>
            </w:pPr>
            <w:r w:rsidRPr="007D5680">
              <w:rPr>
                <w:b/>
                <w:bCs/>
              </w:rPr>
              <w:t xml:space="preserve">Causal </w:t>
            </w:r>
            <w:r w:rsidR="003C5CA6" w:rsidRPr="007D5680">
              <w:rPr>
                <w:b/>
                <w:bCs/>
              </w:rPr>
              <w:t>link</w:t>
            </w:r>
          </w:p>
        </w:tc>
        <w:tc>
          <w:tcPr>
            <w:tcW w:w="828" w:type="dxa"/>
          </w:tcPr>
          <w:p w:rsidR="005A4E34" w:rsidRPr="007D5680" w:rsidRDefault="005A4E34" w:rsidP="004A31AF">
            <w:pPr>
              <w:jc w:val="center"/>
              <w:rPr>
                <w:b/>
                <w:bCs/>
              </w:rPr>
            </w:pPr>
            <w:r w:rsidRPr="007D5680">
              <w:rPr>
                <w:b/>
                <w:bCs/>
              </w:rPr>
              <w:t>15</w:t>
            </w:r>
          </w:p>
        </w:tc>
      </w:tr>
      <w:tr w:rsidR="005A4E34" w:rsidTr="009E24DB">
        <w:tc>
          <w:tcPr>
            <w:tcW w:w="828" w:type="dxa"/>
          </w:tcPr>
          <w:p w:rsidR="005A4E34" w:rsidRPr="007D5680" w:rsidRDefault="005A4E34" w:rsidP="004A31AF">
            <w:pPr>
              <w:jc w:val="center"/>
              <w:rPr>
                <w:b/>
                <w:bCs/>
              </w:rPr>
            </w:pPr>
            <w:r w:rsidRPr="007D5680">
              <w:rPr>
                <w:b/>
                <w:bCs/>
              </w:rPr>
              <w:t>6</w:t>
            </w:r>
          </w:p>
        </w:tc>
        <w:tc>
          <w:tcPr>
            <w:tcW w:w="7920" w:type="dxa"/>
          </w:tcPr>
          <w:p w:rsidR="005A4E34" w:rsidRPr="007D5680" w:rsidRDefault="005A4E34" w:rsidP="004A31AF">
            <w:pPr>
              <w:jc w:val="center"/>
              <w:rPr>
                <w:b/>
                <w:bCs/>
              </w:rPr>
            </w:pPr>
            <w:r w:rsidRPr="007D5680">
              <w:rPr>
                <w:b/>
                <w:bCs/>
              </w:rPr>
              <w:t>Comments by the concerned parties</w:t>
            </w:r>
          </w:p>
        </w:tc>
        <w:tc>
          <w:tcPr>
            <w:tcW w:w="828" w:type="dxa"/>
          </w:tcPr>
          <w:p w:rsidR="005A4E34" w:rsidRPr="007D5680" w:rsidRDefault="005A4E34" w:rsidP="004A31AF">
            <w:pPr>
              <w:jc w:val="center"/>
              <w:rPr>
                <w:b/>
                <w:bCs/>
              </w:rPr>
            </w:pPr>
            <w:r w:rsidRPr="007D5680">
              <w:rPr>
                <w:b/>
                <w:bCs/>
              </w:rPr>
              <w:t>16</w:t>
            </w:r>
          </w:p>
        </w:tc>
      </w:tr>
      <w:tr w:rsidR="005A4E34" w:rsidTr="009E24DB">
        <w:tc>
          <w:tcPr>
            <w:tcW w:w="828" w:type="dxa"/>
          </w:tcPr>
          <w:p w:rsidR="005A4E34" w:rsidRPr="007D5680" w:rsidRDefault="005A4E34" w:rsidP="004A31AF">
            <w:pPr>
              <w:jc w:val="center"/>
              <w:rPr>
                <w:b/>
                <w:bCs/>
              </w:rPr>
            </w:pPr>
            <w:r w:rsidRPr="007D5680">
              <w:rPr>
                <w:b/>
                <w:bCs/>
              </w:rPr>
              <w:t>7</w:t>
            </w:r>
          </w:p>
        </w:tc>
        <w:tc>
          <w:tcPr>
            <w:tcW w:w="7920" w:type="dxa"/>
          </w:tcPr>
          <w:p w:rsidR="005A4E34" w:rsidRPr="007D5680" w:rsidRDefault="003C5CA6" w:rsidP="004A31AF">
            <w:pPr>
              <w:jc w:val="center"/>
              <w:rPr>
                <w:b/>
                <w:bCs/>
              </w:rPr>
            </w:pPr>
            <w:r w:rsidRPr="007D5680">
              <w:rPr>
                <w:b/>
                <w:bCs/>
              </w:rPr>
              <w:t>Common</w:t>
            </w:r>
            <w:r w:rsidR="005A4E34" w:rsidRPr="007D5680">
              <w:rPr>
                <w:b/>
                <w:bCs/>
              </w:rPr>
              <w:t xml:space="preserve"> interest</w:t>
            </w:r>
          </w:p>
        </w:tc>
        <w:tc>
          <w:tcPr>
            <w:tcW w:w="828" w:type="dxa"/>
          </w:tcPr>
          <w:p w:rsidR="005A4E34" w:rsidRPr="007D5680" w:rsidRDefault="005A4E34" w:rsidP="004A31AF">
            <w:pPr>
              <w:jc w:val="center"/>
              <w:rPr>
                <w:b/>
                <w:bCs/>
              </w:rPr>
            </w:pPr>
            <w:r w:rsidRPr="007D5680">
              <w:rPr>
                <w:b/>
                <w:bCs/>
              </w:rPr>
              <w:t>28</w:t>
            </w:r>
          </w:p>
        </w:tc>
      </w:tr>
      <w:tr w:rsidR="005A4E34" w:rsidTr="009E24DB">
        <w:tc>
          <w:tcPr>
            <w:tcW w:w="828" w:type="dxa"/>
          </w:tcPr>
          <w:p w:rsidR="005A4E34" w:rsidRPr="007D5680" w:rsidRDefault="005A4E34" w:rsidP="004A31AF">
            <w:pPr>
              <w:jc w:val="center"/>
              <w:rPr>
                <w:b/>
                <w:bCs/>
              </w:rPr>
            </w:pPr>
            <w:r w:rsidRPr="007D5680">
              <w:rPr>
                <w:b/>
                <w:bCs/>
              </w:rPr>
              <w:t>8</w:t>
            </w:r>
          </w:p>
        </w:tc>
        <w:tc>
          <w:tcPr>
            <w:tcW w:w="7920" w:type="dxa"/>
          </w:tcPr>
          <w:p w:rsidR="005A4E34" w:rsidRPr="007D5680" w:rsidRDefault="000E3C0E" w:rsidP="004A31AF">
            <w:pPr>
              <w:jc w:val="center"/>
              <w:rPr>
                <w:b/>
                <w:bCs/>
              </w:rPr>
            </w:pPr>
            <w:r w:rsidRPr="007D5680">
              <w:rPr>
                <w:b/>
                <w:bCs/>
              </w:rPr>
              <w:t xml:space="preserve">Findings </w:t>
            </w:r>
          </w:p>
        </w:tc>
        <w:tc>
          <w:tcPr>
            <w:tcW w:w="828" w:type="dxa"/>
          </w:tcPr>
          <w:p w:rsidR="005A4E34" w:rsidRPr="007D5680" w:rsidRDefault="005A4E34" w:rsidP="004A31AF">
            <w:pPr>
              <w:jc w:val="center"/>
              <w:rPr>
                <w:b/>
                <w:bCs/>
              </w:rPr>
            </w:pPr>
            <w:r w:rsidRPr="007D5680">
              <w:rPr>
                <w:b/>
                <w:bCs/>
              </w:rPr>
              <w:t>29</w:t>
            </w:r>
          </w:p>
        </w:tc>
      </w:tr>
    </w:tbl>
    <w:p w:rsidR="009E24DB" w:rsidRDefault="009E24DB"/>
    <w:p w:rsidR="004A31AF" w:rsidRDefault="004A31AF"/>
    <w:p w:rsidR="004A31AF" w:rsidRDefault="004A31AF"/>
    <w:p w:rsidR="004A31AF" w:rsidRDefault="004A31AF"/>
    <w:p w:rsidR="004A31AF" w:rsidRDefault="004A31AF"/>
    <w:p w:rsidR="004A31AF" w:rsidRDefault="004A31AF"/>
    <w:p w:rsidR="004A31AF" w:rsidRDefault="004A31AF"/>
    <w:p w:rsidR="004A31AF" w:rsidRDefault="004A31AF"/>
    <w:p w:rsidR="004A31AF" w:rsidRDefault="004A31AF"/>
    <w:p w:rsidR="004A31AF" w:rsidRDefault="004A31AF"/>
    <w:p w:rsidR="004A31AF" w:rsidRDefault="004A31AF"/>
    <w:p w:rsidR="004A31AF" w:rsidRPr="0004286E" w:rsidRDefault="004A31AF" w:rsidP="004A31AF">
      <w:pPr>
        <w:pStyle w:val="ListParagraph"/>
        <w:numPr>
          <w:ilvl w:val="0"/>
          <w:numId w:val="1"/>
        </w:numPr>
        <w:jc w:val="both"/>
        <w:rPr>
          <w:b/>
          <w:bCs/>
        </w:rPr>
      </w:pPr>
      <w:r w:rsidRPr="0004286E">
        <w:rPr>
          <w:b/>
          <w:bCs/>
        </w:rPr>
        <w:lastRenderedPageBreak/>
        <w:t xml:space="preserve">Measures </w:t>
      </w:r>
    </w:p>
    <w:p w:rsidR="004A31AF" w:rsidRPr="0004286E" w:rsidRDefault="004A31AF" w:rsidP="004A31AF">
      <w:pPr>
        <w:pStyle w:val="ListParagraph"/>
        <w:numPr>
          <w:ilvl w:val="1"/>
          <w:numId w:val="3"/>
        </w:numPr>
        <w:jc w:val="both"/>
        <w:rPr>
          <w:b/>
          <w:bCs/>
        </w:rPr>
      </w:pPr>
      <w:r w:rsidRPr="0004286E">
        <w:rPr>
          <w:b/>
          <w:bCs/>
        </w:rPr>
        <w:t xml:space="preserve">Introduction </w:t>
      </w:r>
    </w:p>
    <w:p w:rsidR="004A31AF" w:rsidRDefault="000C21FE" w:rsidP="0025404B">
      <w:pPr>
        <w:pStyle w:val="ListParagraph"/>
        <w:numPr>
          <w:ilvl w:val="2"/>
          <w:numId w:val="4"/>
        </w:numPr>
        <w:jc w:val="both"/>
      </w:pPr>
      <w:r>
        <w:t>This</w:t>
      </w:r>
      <w:r w:rsidR="004A31AF">
        <w:t xml:space="preserve"> is deemed a report on fundamental facts and the </w:t>
      </w:r>
      <w:r w:rsidR="0004286E">
        <w:t>finding</w:t>
      </w:r>
      <w:r w:rsidR="004A31AF">
        <w:t>s r</w:t>
      </w:r>
      <w:r w:rsidR="0004286E">
        <w:t>ealized by the Commercial Remedies</w:t>
      </w:r>
      <w:r w:rsidR="004A31AF">
        <w:t xml:space="preserve"> Sector (referred to here</w:t>
      </w:r>
      <w:r w:rsidR="0004286E">
        <w:t>in</w:t>
      </w:r>
      <w:r w:rsidR="0025404B">
        <w:t>after as the I</w:t>
      </w:r>
      <w:r w:rsidR="004A31AF">
        <w:t xml:space="preserve">nvestigation </w:t>
      </w:r>
      <w:r w:rsidR="0025404B">
        <w:t>A</w:t>
      </w:r>
      <w:r w:rsidR="004A31AF">
        <w:t xml:space="preserve">uthority) post studying the data, information, and comments raised by all the concerned parties in the context of investigating the </w:t>
      </w:r>
      <w:r w:rsidR="0025404B">
        <w:t>substantial increase</w:t>
      </w:r>
      <w:r w:rsidR="004A31AF">
        <w:t xml:space="preserve"> of imports of Aluminum products. </w:t>
      </w:r>
    </w:p>
    <w:p w:rsidR="000C21FE" w:rsidRDefault="000C21FE" w:rsidP="00230BEF">
      <w:pPr>
        <w:pStyle w:val="ListParagraph"/>
        <w:numPr>
          <w:ilvl w:val="2"/>
          <w:numId w:val="4"/>
        </w:numPr>
        <w:jc w:val="both"/>
      </w:pPr>
      <w:r>
        <w:t xml:space="preserve">On 29/12/2019, the </w:t>
      </w:r>
      <w:r w:rsidR="004E22E1">
        <w:t>Investigati</w:t>
      </w:r>
      <w:r>
        <w:t>n</w:t>
      </w:r>
      <w:r w:rsidR="004E22E1">
        <w:t>g</w:t>
      </w:r>
      <w:r>
        <w:t xml:space="preserve"> Authority received a complaint from</w:t>
      </w:r>
      <w:r w:rsidRPr="000C21FE">
        <w:t xml:space="preserve"> </w:t>
      </w:r>
      <w:proofErr w:type="spellStart"/>
      <w:r w:rsidRPr="000C21FE">
        <w:t>Misr</w:t>
      </w:r>
      <w:proofErr w:type="spellEnd"/>
      <w:r w:rsidRPr="000C21FE">
        <w:t xml:space="preserve"> Aluminum Company</w:t>
      </w:r>
      <w:r>
        <w:t xml:space="preserve"> (its production represents 100% of the total local produ</w:t>
      </w:r>
      <w:r w:rsidR="00230BEF">
        <w:t>ction of the products subject to</w:t>
      </w:r>
      <w:r>
        <w:t xml:space="preserve"> investigation) in which it claimed that there is</w:t>
      </w:r>
      <w:r w:rsidR="004E22E1">
        <w:t xml:space="preserve"> substantial increase of imports of aluminum products that substantially injured the local industry. Thus, the complaint secured provisions of article (14)</w:t>
      </w:r>
      <w:r w:rsidR="00951C78">
        <w:rPr>
          <w:rStyle w:val="FootnoteReference"/>
        </w:rPr>
        <w:footnoteReference w:id="1"/>
      </w:r>
      <w:r w:rsidR="004E22E1">
        <w:t xml:space="preserve"> of law No. 161</w:t>
      </w:r>
      <w:r w:rsidR="00230BEF">
        <w:t xml:space="preserve"> and its</w:t>
      </w:r>
      <w:r w:rsidR="004E22E1">
        <w:t xml:space="preserve"> amendments, referred to hereinafter as ‘executive regulations’</w:t>
      </w:r>
      <w:r w:rsidR="004E22E1">
        <w:rPr>
          <w:lang w:bidi="ar-EG"/>
        </w:rPr>
        <w:t xml:space="preserve"> and it has </w:t>
      </w:r>
      <w:r w:rsidR="00B6702E">
        <w:rPr>
          <w:lang w:bidi="ar-EG"/>
        </w:rPr>
        <w:t xml:space="preserve">been </w:t>
      </w:r>
      <w:r w:rsidR="004E22E1">
        <w:rPr>
          <w:lang w:bidi="ar-EG"/>
        </w:rPr>
        <w:t xml:space="preserve">endorsed and registered after researching the accuracy and sufficiency of the evidences presented in the complaint. </w:t>
      </w:r>
      <w:r>
        <w:t xml:space="preserve"> </w:t>
      </w:r>
    </w:p>
    <w:p w:rsidR="00552598" w:rsidRDefault="004E22E1" w:rsidP="00DB7A99">
      <w:pPr>
        <w:pStyle w:val="ListParagraph"/>
        <w:numPr>
          <w:ilvl w:val="2"/>
          <w:numId w:val="4"/>
        </w:numPr>
        <w:jc w:val="both"/>
      </w:pPr>
      <w:r>
        <w:t xml:space="preserve">According to the data presented in the complaint, it </w:t>
      </w:r>
      <w:proofErr w:type="gramStart"/>
      <w:r>
        <w:t>was found</w:t>
      </w:r>
      <w:proofErr w:type="gramEnd"/>
      <w:r>
        <w:t xml:space="preserve"> that there is </w:t>
      </w:r>
      <w:r w:rsidR="00552598">
        <w:t>absolute and relative substantial increase of the imports of the concerned products throughout t</w:t>
      </w:r>
      <w:r w:rsidR="00352402">
        <w:t>he investigation period and</w:t>
      </w:r>
      <w:r w:rsidR="00552598">
        <w:t xml:space="preserve"> there is substantial injury </w:t>
      </w:r>
      <w:r w:rsidR="00DB7A99">
        <w:t>to</w:t>
      </w:r>
      <w:r w:rsidR="00552598">
        <w:t xml:space="preserve"> the local industry.</w:t>
      </w:r>
    </w:p>
    <w:p w:rsidR="00951C78" w:rsidRDefault="00552598" w:rsidP="00167F22">
      <w:pPr>
        <w:pStyle w:val="ListParagraph"/>
        <w:numPr>
          <w:ilvl w:val="2"/>
          <w:numId w:val="4"/>
        </w:numPr>
        <w:jc w:val="both"/>
      </w:pPr>
      <w:r>
        <w:t>On 25/3/2020, the Investigating Authority drafted a report on the above mentioned complaint for presentation to</w:t>
      </w:r>
      <w:r w:rsidR="00951C78">
        <w:t xml:space="preserve"> the advisory committee that in turn submit</w:t>
      </w:r>
      <w:r w:rsidR="008323D9">
        <w:t xml:space="preserve">ted its recommendations to the </w:t>
      </w:r>
      <w:r w:rsidR="00167F22">
        <w:t>M</w:t>
      </w:r>
      <w:r w:rsidR="00951C78">
        <w:t xml:space="preserve">inister of </w:t>
      </w:r>
      <w:r w:rsidR="00167F22">
        <w:t>Trade and I</w:t>
      </w:r>
      <w:r w:rsidR="00951C78">
        <w:t>ndustry on starting investigating the aforementioned imports in paragraph 1-1-2.</w:t>
      </w:r>
    </w:p>
    <w:p w:rsidR="000C21FE" w:rsidRDefault="00951C78" w:rsidP="00951C78">
      <w:pPr>
        <w:pStyle w:val="ListParagraph"/>
        <w:numPr>
          <w:ilvl w:val="2"/>
          <w:numId w:val="4"/>
        </w:numPr>
        <w:jc w:val="both"/>
      </w:pPr>
      <w:r>
        <w:t>On 14/4/2020, H.E. Minister of Trade and Industry approved the start of safe</w:t>
      </w:r>
      <w:r w:rsidR="00546285">
        <w:t>guard investigations on the increase</w:t>
      </w:r>
      <w:r>
        <w:t xml:space="preserve"> of imports of aluminum products.  </w:t>
      </w:r>
      <w:r w:rsidR="00552598">
        <w:t xml:space="preserve"> </w:t>
      </w:r>
      <w:r w:rsidR="004E22E1">
        <w:t xml:space="preserve"> </w:t>
      </w:r>
    </w:p>
    <w:p w:rsidR="00917478" w:rsidRDefault="00951C78" w:rsidP="00B0086A">
      <w:pPr>
        <w:pStyle w:val="ListParagraph"/>
        <w:numPr>
          <w:ilvl w:val="2"/>
          <w:numId w:val="4"/>
        </w:numPr>
        <w:jc w:val="both"/>
      </w:pPr>
      <w:r>
        <w:t xml:space="preserve">On 16/4/2020, announcement No. (2) of </w:t>
      </w:r>
      <w:r w:rsidR="00546285">
        <w:t>2020 has been published in the O</w:t>
      </w:r>
      <w:r>
        <w:t xml:space="preserve">fficial </w:t>
      </w:r>
      <w:r w:rsidR="00546285">
        <w:t>G</w:t>
      </w:r>
      <w:r>
        <w:t xml:space="preserve">azette, issue 90 </w:t>
      </w:r>
      <w:r w:rsidR="00B0086A">
        <w:t>(continued)</w:t>
      </w:r>
      <w:r>
        <w:t xml:space="preserve"> (b) according to article (22)</w:t>
      </w:r>
      <w:r w:rsidR="00E9190E">
        <w:rPr>
          <w:rStyle w:val="FootnoteReference"/>
        </w:rPr>
        <w:footnoteReference w:id="2"/>
      </w:r>
      <w:r w:rsidR="00E9190E">
        <w:t xml:space="preserve"> </w:t>
      </w:r>
      <w:r>
        <w:t>of the executive regulations on starting sa</w:t>
      </w:r>
      <w:r w:rsidR="00546285">
        <w:t>feguard measures against the increas</w:t>
      </w:r>
      <w:r>
        <w:t xml:space="preserve">e of imports of aluminum products, to be referred to hereinafter as the concerned product. </w:t>
      </w:r>
    </w:p>
    <w:p w:rsidR="00917478" w:rsidRDefault="00917478" w:rsidP="00B0086A">
      <w:pPr>
        <w:pStyle w:val="ListParagraph"/>
        <w:numPr>
          <w:ilvl w:val="2"/>
          <w:numId w:val="4"/>
        </w:numPr>
        <w:jc w:val="both"/>
      </w:pPr>
      <w:r>
        <w:t>On 22/4/2020, the WTO safeguard com</w:t>
      </w:r>
      <w:r w:rsidR="00B0086A">
        <w:t>mittee has been notified about t</w:t>
      </w:r>
      <w:r>
        <w:t>h</w:t>
      </w:r>
      <w:r w:rsidR="00B0086A">
        <w:t>e</w:t>
      </w:r>
      <w:r>
        <w:t xml:space="preserve"> start of investigations in accordance to the provisions of article (90)</w:t>
      </w:r>
      <w:r w:rsidR="003F4BFD">
        <w:rPr>
          <w:rStyle w:val="FootnoteReference"/>
        </w:rPr>
        <w:footnoteReference w:id="3"/>
      </w:r>
      <w:r>
        <w:t xml:space="preserve"> of the executive regulations and provisions of articles (1-12)</w:t>
      </w:r>
      <w:r>
        <w:rPr>
          <w:rStyle w:val="FootnoteReference"/>
        </w:rPr>
        <w:footnoteReference w:id="4"/>
      </w:r>
      <w:r>
        <w:t xml:space="preserve"> of the </w:t>
      </w:r>
      <w:r w:rsidR="00B0086A">
        <w:t>S</w:t>
      </w:r>
      <w:r>
        <w:t xml:space="preserve">afeguard </w:t>
      </w:r>
      <w:r w:rsidR="00B0086A">
        <w:t>A</w:t>
      </w:r>
      <w:r>
        <w:t>greement.</w:t>
      </w:r>
    </w:p>
    <w:p w:rsidR="003F4BFD" w:rsidRDefault="00917478" w:rsidP="00FB5425">
      <w:pPr>
        <w:pStyle w:val="ListParagraph"/>
        <w:numPr>
          <w:ilvl w:val="2"/>
          <w:numId w:val="4"/>
        </w:numPr>
        <w:jc w:val="both"/>
      </w:pPr>
      <w:r>
        <w:lastRenderedPageBreak/>
        <w:t>Over 24/4/2020-22/7/2020, the Investigating Authority received notes from foreign producers</w:t>
      </w:r>
      <w:r w:rsidR="00FB5425">
        <w:t>,</w:t>
      </w:r>
      <w:r>
        <w:t xml:space="preserve"> exporters, importers, users of the concerned product, and governments of the exporting countries to </w:t>
      </w:r>
      <w:r>
        <w:rPr>
          <w:lang w:bidi="ar-EG"/>
        </w:rPr>
        <w:t xml:space="preserve">represent themselves as concerned parties in the investigation and request attendance the said public hearing mentioned in announcement No. (2) </w:t>
      </w:r>
      <w:proofErr w:type="gramStart"/>
      <w:r>
        <w:rPr>
          <w:lang w:bidi="ar-EG"/>
        </w:rPr>
        <w:t>of</w:t>
      </w:r>
      <w:proofErr w:type="gramEnd"/>
      <w:r>
        <w:rPr>
          <w:lang w:bidi="ar-EG"/>
        </w:rPr>
        <w:t xml:space="preserve"> 2020.</w:t>
      </w:r>
    </w:p>
    <w:p w:rsidR="00E711E2" w:rsidRDefault="003F4BFD" w:rsidP="00A51782">
      <w:pPr>
        <w:pStyle w:val="ListParagraph"/>
        <w:numPr>
          <w:ilvl w:val="2"/>
          <w:numId w:val="4"/>
        </w:numPr>
        <w:jc w:val="both"/>
      </w:pPr>
      <w:r>
        <w:rPr>
          <w:lang w:bidi="ar-EG"/>
        </w:rPr>
        <w:t xml:space="preserve">Over 4/5/2020-16/6/2020, the Investigating Authority sent a copy of the non-confidential complaint, the announcement on the start of investigation, and lists of questionnaire to all the concerned parties. They </w:t>
      </w:r>
      <w:proofErr w:type="gramStart"/>
      <w:r>
        <w:rPr>
          <w:lang w:bidi="ar-EG"/>
        </w:rPr>
        <w:t>have been given</w:t>
      </w:r>
      <w:proofErr w:type="gramEnd"/>
      <w:r>
        <w:rPr>
          <w:lang w:bidi="ar-EG"/>
        </w:rPr>
        <w:t xml:space="preserve"> 36 days as of the date of reception as a grace to respond to questionnaire</w:t>
      </w:r>
      <w:r w:rsidR="00A51782">
        <w:rPr>
          <w:lang w:bidi="ar-EG"/>
        </w:rPr>
        <w:t>s</w:t>
      </w:r>
      <w:r>
        <w:rPr>
          <w:lang w:bidi="ar-EG"/>
        </w:rPr>
        <w:t xml:space="preserve"> in accordance to provisions of article (23)</w:t>
      </w:r>
      <w:r>
        <w:rPr>
          <w:rStyle w:val="FootnoteReference"/>
          <w:lang w:bidi="ar-EG"/>
        </w:rPr>
        <w:footnoteReference w:id="5"/>
      </w:r>
      <w:r>
        <w:rPr>
          <w:lang w:bidi="ar-EG"/>
        </w:rPr>
        <w:t xml:space="preserve"> of the executive regulations. </w:t>
      </w:r>
      <w:r w:rsidR="00917478">
        <w:rPr>
          <w:lang w:bidi="ar-EG"/>
        </w:rPr>
        <w:t xml:space="preserve"> </w:t>
      </w:r>
    </w:p>
    <w:p w:rsidR="00E711E2" w:rsidRDefault="00E711E2" w:rsidP="00FB5425">
      <w:pPr>
        <w:pStyle w:val="ListParagraph"/>
        <w:numPr>
          <w:ilvl w:val="2"/>
          <w:numId w:val="4"/>
        </w:numPr>
        <w:jc w:val="both"/>
      </w:pPr>
      <w:r>
        <w:rPr>
          <w:lang w:bidi="ar-EG"/>
        </w:rPr>
        <w:t xml:space="preserve">Over 14/5/2020-15/8/2020, the Investigating Authority received the comments of some concerned parties on the complaint presented by the industry and responses to questionnaires. </w:t>
      </w:r>
    </w:p>
    <w:p w:rsidR="0053770F" w:rsidRDefault="00E711E2" w:rsidP="003641CA">
      <w:pPr>
        <w:pStyle w:val="ListParagraph"/>
        <w:numPr>
          <w:ilvl w:val="2"/>
          <w:numId w:val="4"/>
        </w:numPr>
        <w:jc w:val="both"/>
      </w:pPr>
      <w:r>
        <w:rPr>
          <w:lang w:bidi="ar-EG"/>
        </w:rPr>
        <w:t>On 6/10/2020, in accordance to provisions of article (25)</w:t>
      </w:r>
      <w:r>
        <w:rPr>
          <w:rStyle w:val="FootnoteReference"/>
          <w:lang w:bidi="ar-EG"/>
        </w:rPr>
        <w:footnoteReference w:id="6"/>
      </w:r>
      <w:r>
        <w:rPr>
          <w:lang w:bidi="ar-EG"/>
        </w:rPr>
        <w:t xml:space="preserve"> of the executive regulations and </w:t>
      </w:r>
      <w:r w:rsidR="00A51782">
        <w:rPr>
          <w:lang w:bidi="ar-EG"/>
        </w:rPr>
        <w:t>article (</w:t>
      </w:r>
      <w:r w:rsidR="003641CA">
        <w:rPr>
          <w:lang w:bidi="ar-EG"/>
        </w:rPr>
        <w:t>3</w:t>
      </w:r>
      <w:r w:rsidR="00A51782">
        <w:rPr>
          <w:lang w:bidi="ar-EG"/>
        </w:rPr>
        <w:t>-1</w:t>
      </w:r>
      <w:r w:rsidR="003641CA">
        <w:rPr>
          <w:lang w:bidi="ar-EG"/>
        </w:rPr>
        <w:t>) of the S</w:t>
      </w:r>
      <w:r>
        <w:rPr>
          <w:lang w:bidi="ar-EG"/>
        </w:rPr>
        <w:t xml:space="preserve">afeguard </w:t>
      </w:r>
      <w:r w:rsidR="003641CA">
        <w:rPr>
          <w:lang w:bidi="ar-EG"/>
        </w:rPr>
        <w:t>A</w:t>
      </w:r>
      <w:r>
        <w:rPr>
          <w:lang w:bidi="ar-EG"/>
        </w:rPr>
        <w:t>greement, all the concerned parties were invite</w:t>
      </w:r>
      <w:r w:rsidR="000823DF">
        <w:rPr>
          <w:lang w:bidi="ar-EG"/>
        </w:rPr>
        <w:t>d to attend the public hearing</w:t>
      </w:r>
      <w:r>
        <w:rPr>
          <w:lang w:bidi="ar-EG"/>
        </w:rPr>
        <w:t xml:space="preserve"> to present their viewpoints on whether the application of s</w:t>
      </w:r>
      <w:r w:rsidR="00395C98">
        <w:rPr>
          <w:lang w:bidi="ar-EG"/>
        </w:rPr>
        <w:t xml:space="preserve">afeguard measures serves </w:t>
      </w:r>
      <w:r>
        <w:rPr>
          <w:lang w:bidi="ar-EG"/>
        </w:rPr>
        <w:t xml:space="preserve"> </w:t>
      </w:r>
      <w:r w:rsidR="00395C98">
        <w:rPr>
          <w:lang w:bidi="ar-EG"/>
        </w:rPr>
        <w:t xml:space="preserve">common </w:t>
      </w:r>
      <w:r>
        <w:rPr>
          <w:lang w:bidi="ar-EG"/>
        </w:rPr>
        <w:t xml:space="preserve">interest or not.  </w:t>
      </w:r>
    </w:p>
    <w:p w:rsidR="0053770F" w:rsidRDefault="0053770F" w:rsidP="00E711E2">
      <w:pPr>
        <w:pStyle w:val="ListParagraph"/>
        <w:numPr>
          <w:ilvl w:val="2"/>
          <w:numId w:val="4"/>
        </w:numPr>
        <w:jc w:val="both"/>
      </w:pPr>
      <w:r>
        <w:rPr>
          <w:lang w:bidi="ar-EG"/>
        </w:rPr>
        <w:t xml:space="preserve">On 26/10/2020, an online public hearing has been convened in the presence of the concerned parties that voiced their wish to attend. Attendees have expressed their viewpoints and </w:t>
      </w:r>
      <w:proofErr w:type="spellStart"/>
      <w:r>
        <w:rPr>
          <w:lang w:bidi="ar-EG"/>
        </w:rPr>
        <w:t>defences</w:t>
      </w:r>
      <w:proofErr w:type="spellEnd"/>
      <w:r>
        <w:rPr>
          <w:lang w:bidi="ar-EG"/>
        </w:rPr>
        <w:t xml:space="preserve"> verbally during the</w:t>
      </w:r>
      <w:r w:rsidR="00672941">
        <w:rPr>
          <w:lang w:bidi="ar-EG"/>
        </w:rPr>
        <w:t xml:space="preserve"> session provided that they would</w:t>
      </w:r>
      <w:r>
        <w:rPr>
          <w:lang w:bidi="ar-EG"/>
        </w:rPr>
        <w:t xml:space="preserve"> be presented to the Investigating Authority in writing no later than 2/11/2020.</w:t>
      </w:r>
    </w:p>
    <w:p w:rsidR="00383FB2" w:rsidRDefault="0053770F" w:rsidP="00723D3B">
      <w:pPr>
        <w:pStyle w:val="ListParagraph"/>
        <w:numPr>
          <w:ilvl w:val="2"/>
          <w:numId w:val="4"/>
        </w:numPr>
        <w:jc w:val="both"/>
      </w:pPr>
      <w:r>
        <w:rPr>
          <w:lang w:bidi="ar-EG"/>
        </w:rPr>
        <w:t>Over 27/10/2020-2/11/2020, the Investigating Authority received the</w:t>
      </w:r>
      <w:r w:rsidR="00383FB2">
        <w:rPr>
          <w:lang w:bidi="ar-EG"/>
        </w:rPr>
        <w:t xml:space="preserve"> parties’ </w:t>
      </w:r>
      <w:proofErr w:type="spellStart"/>
      <w:r>
        <w:rPr>
          <w:lang w:bidi="ar-EG"/>
        </w:rPr>
        <w:t>defences</w:t>
      </w:r>
      <w:proofErr w:type="spellEnd"/>
      <w:r>
        <w:rPr>
          <w:lang w:bidi="ar-EG"/>
        </w:rPr>
        <w:t xml:space="preserve"> and comments </w:t>
      </w:r>
      <w:r w:rsidR="00383FB2">
        <w:rPr>
          <w:lang w:bidi="ar-EG"/>
        </w:rPr>
        <w:t>in writing</w:t>
      </w:r>
      <w:r>
        <w:rPr>
          <w:lang w:bidi="ar-EG"/>
        </w:rPr>
        <w:t xml:space="preserve"> as introduced during the </w:t>
      </w:r>
      <w:r w:rsidR="003622BE">
        <w:rPr>
          <w:lang w:bidi="ar-EG"/>
        </w:rPr>
        <w:t xml:space="preserve">hearing </w:t>
      </w:r>
      <w:r w:rsidR="00383FB2">
        <w:rPr>
          <w:lang w:bidi="ar-EG"/>
        </w:rPr>
        <w:t xml:space="preserve">supported with documents. The Investigating Authority took such comments in consideration and reflected them in </w:t>
      </w:r>
      <w:r w:rsidR="00723D3B">
        <w:rPr>
          <w:lang w:bidi="ar-EG"/>
        </w:rPr>
        <w:t>section 6</w:t>
      </w:r>
      <w:r w:rsidR="00383FB2">
        <w:rPr>
          <w:lang w:bidi="ar-EG"/>
        </w:rPr>
        <w:t xml:space="preserve"> of this report.</w:t>
      </w:r>
    </w:p>
    <w:p w:rsidR="00383FB2" w:rsidRDefault="00383FB2" w:rsidP="00383FB2">
      <w:pPr>
        <w:pStyle w:val="ListParagraph"/>
        <w:numPr>
          <w:ilvl w:val="2"/>
          <w:numId w:val="4"/>
        </w:numPr>
        <w:jc w:val="both"/>
      </w:pPr>
      <w:r>
        <w:rPr>
          <w:lang w:bidi="ar-EG"/>
        </w:rPr>
        <w:t xml:space="preserve">Over 23/11/2020-25/11/2020, the Investigating Authority has made a field visit to </w:t>
      </w:r>
      <w:proofErr w:type="spellStart"/>
      <w:r>
        <w:rPr>
          <w:lang w:bidi="ar-EG"/>
        </w:rPr>
        <w:t>Misr</w:t>
      </w:r>
      <w:proofErr w:type="spellEnd"/>
      <w:r>
        <w:rPr>
          <w:lang w:bidi="ar-EG"/>
        </w:rPr>
        <w:t xml:space="preserve"> Aluminum Company premises in accordance to article 26 of the regulations </w:t>
      </w:r>
      <w:proofErr w:type="gramStart"/>
      <w:r>
        <w:rPr>
          <w:lang w:bidi="ar-EG"/>
        </w:rPr>
        <w:t>so as to</w:t>
      </w:r>
      <w:proofErr w:type="gramEnd"/>
      <w:r>
        <w:rPr>
          <w:lang w:bidi="ar-EG"/>
        </w:rPr>
        <w:t xml:space="preserve"> verify the data pre</w:t>
      </w:r>
      <w:r w:rsidR="00723D3B">
        <w:rPr>
          <w:lang w:bidi="ar-EG"/>
        </w:rPr>
        <w:t>sented to it in the responses to</w:t>
      </w:r>
      <w:r>
        <w:rPr>
          <w:lang w:bidi="ar-EG"/>
        </w:rPr>
        <w:t xml:space="preserve"> questionnaire</w:t>
      </w:r>
      <w:r w:rsidR="003622BE">
        <w:rPr>
          <w:lang w:bidi="ar-EG"/>
        </w:rPr>
        <w:t>s</w:t>
      </w:r>
      <w:r>
        <w:rPr>
          <w:lang w:bidi="ar-EG"/>
        </w:rPr>
        <w:t xml:space="preserve">. </w:t>
      </w:r>
    </w:p>
    <w:p w:rsidR="00383FB2" w:rsidRDefault="00383FB2" w:rsidP="00723D3B">
      <w:pPr>
        <w:pStyle w:val="ListParagraph"/>
        <w:numPr>
          <w:ilvl w:val="2"/>
          <w:numId w:val="4"/>
        </w:numPr>
        <w:jc w:val="both"/>
      </w:pPr>
      <w:r>
        <w:rPr>
          <w:lang w:bidi="ar-EG"/>
        </w:rPr>
        <w:t xml:space="preserve">On 11/11/2020, the UAE notified </w:t>
      </w:r>
      <w:r w:rsidR="00723D3B">
        <w:rPr>
          <w:lang w:bidi="ar-EG"/>
        </w:rPr>
        <w:t>about</w:t>
      </w:r>
      <w:r>
        <w:rPr>
          <w:lang w:bidi="ar-EG"/>
        </w:rPr>
        <w:t xml:space="preserve"> the </w:t>
      </w:r>
      <w:r w:rsidR="00723D3B">
        <w:rPr>
          <w:lang w:bidi="ar-EG"/>
        </w:rPr>
        <w:t xml:space="preserve">wish of </w:t>
      </w:r>
      <w:r>
        <w:rPr>
          <w:lang w:bidi="ar-EG"/>
        </w:rPr>
        <w:t xml:space="preserve">General Secretariat of the Gulf Cooperation Council </w:t>
      </w:r>
      <w:r w:rsidR="00723D3B">
        <w:rPr>
          <w:lang w:bidi="ar-EG"/>
        </w:rPr>
        <w:t xml:space="preserve">(GCC) to hold a consultation session between the Investigating Authority of the Arab Republic of Egypt and the GCC member states </w:t>
      </w:r>
      <w:r>
        <w:rPr>
          <w:lang w:bidi="ar-EG"/>
        </w:rPr>
        <w:t xml:space="preserve">to present viewpoints to help realize a </w:t>
      </w:r>
      <w:r w:rsidR="00723D3B">
        <w:rPr>
          <w:lang w:bidi="ar-EG"/>
        </w:rPr>
        <w:t>decision that serves the common</w:t>
      </w:r>
      <w:r>
        <w:rPr>
          <w:lang w:bidi="ar-EG"/>
        </w:rPr>
        <w:t xml:space="preserve"> interest of all parties. </w:t>
      </w:r>
    </w:p>
    <w:p w:rsidR="00AA39AC" w:rsidRDefault="00AA39AC" w:rsidP="00723D3B">
      <w:pPr>
        <w:pStyle w:val="ListParagraph"/>
        <w:numPr>
          <w:ilvl w:val="2"/>
          <w:numId w:val="4"/>
        </w:numPr>
        <w:jc w:val="both"/>
      </w:pPr>
      <w:r>
        <w:rPr>
          <w:lang w:bidi="ar-EG"/>
        </w:rPr>
        <w:lastRenderedPageBreak/>
        <w:t>On 8/12/2020, a consultation session has been convened with representatives of the UAE, the KSA, the Kingdom of Bahrain, Kuwa</w:t>
      </w:r>
      <w:r w:rsidR="00723D3B">
        <w:rPr>
          <w:lang w:bidi="ar-EG"/>
        </w:rPr>
        <w:t>it, Sultanate of Oman, and the Bureau</w:t>
      </w:r>
      <w:r>
        <w:rPr>
          <w:lang w:bidi="ar-EG"/>
        </w:rPr>
        <w:t xml:space="preserve"> of Tech</w:t>
      </w:r>
      <w:r w:rsidR="00723D3B">
        <w:rPr>
          <w:lang w:bidi="ar-EG"/>
        </w:rPr>
        <w:t>nical Secretariat for Anti Injurious</w:t>
      </w:r>
      <w:r>
        <w:rPr>
          <w:lang w:bidi="ar-EG"/>
        </w:rPr>
        <w:t xml:space="preserve"> </w:t>
      </w:r>
      <w:r w:rsidR="00723D3B">
        <w:rPr>
          <w:lang w:bidi="ar-EG"/>
        </w:rPr>
        <w:t>P</w:t>
      </w:r>
      <w:r>
        <w:rPr>
          <w:lang w:bidi="ar-EG"/>
        </w:rPr>
        <w:t>ractices.</w:t>
      </w:r>
    </w:p>
    <w:p w:rsidR="00AA39AC" w:rsidRPr="00723D3B" w:rsidRDefault="00AA39AC" w:rsidP="00723D3B">
      <w:pPr>
        <w:pStyle w:val="ListParagraph"/>
        <w:numPr>
          <w:ilvl w:val="1"/>
          <w:numId w:val="4"/>
        </w:numPr>
        <w:jc w:val="both"/>
        <w:rPr>
          <w:b/>
          <w:bCs/>
          <w:lang w:bidi="ar-EG"/>
        </w:rPr>
      </w:pPr>
      <w:r w:rsidRPr="00723D3B">
        <w:rPr>
          <w:b/>
          <w:bCs/>
          <w:lang w:bidi="ar-EG"/>
        </w:rPr>
        <w:t>The concerned parties</w:t>
      </w:r>
    </w:p>
    <w:p w:rsidR="00AA39AC" w:rsidRPr="00723D3B" w:rsidRDefault="00AA39AC" w:rsidP="00AA39AC">
      <w:pPr>
        <w:pStyle w:val="ListParagraph"/>
        <w:numPr>
          <w:ilvl w:val="2"/>
          <w:numId w:val="4"/>
        </w:numPr>
        <w:jc w:val="both"/>
        <w:rPr>
          <w:b/>
          <w:bCs/>
          <w:lang w:bidi="ar-EG"/>
        </w:rPr>
      </w:pPr>
      <w:r w:rsidRPr="00723D3B">
        <w:rPr>
          <w:b/>
          <w:bCs/>
          <w:lang w:bidi="ar-EG"/>
        </w:rPr>
        <w:t xml:space="preserve">Local industry </w:t>
      </w:r>
    </w:p>
    <w:p w:rsidR="00AA39AC" w:rsidRDefault="00AA39AC" w:rsidP="00AA39AC">
      <w:pPr>
        <w:ind w:left="360"/>
        <w:jc w:val="both"/>
        <w:rPr>
          <w:lang w:bidi="ar-EG"/>
        </w:rPr>
      </w:pPr>
      <w:proofErr w:type="gramStart"/>
      <w:r>
        <w:rPr>
          <w:lang w:bidi="ar-EG"/>
        </w:rPr>
        <w:t>1-2-1-1</w:t>
      </w:r>
      <w:proofErr w:type="gramEnd"/>
      <w:r>
        <w:rPr>
          <w:lang w:bidi="ar-EG"/>
        </w:rPr>
        <w:t xml:space="preserve"> </w:t>
      </w:r>
      <w:proofErr w:type="spellStart"/>
      <w:r>
        <w:rPr>
          <w:lang w:bidi="ar-EG"/>
        </w:rPr>
        <w:t>Misr</w:t>
      </w:r>
      <w:proofErr w:type="spellEnd"/>
      <w:r>
        <w:rPr>
          <w:lang w:bidi="ar-EG"/>
        </w:rPr>
        <w:t xml:space="preserve"> Aluminum Company whose production represents 100% of the total local similar/competitive production.</w:t>
      </w:r>
    </w:p>
    <w:p w:rsidR="00AA39AC" w:rsidRPr="00723D3B" w:rsidRDefault="00AA39AC" w:rsidP="00AA39AC">
      <w:pPr>
        <w:pStyle w:val="ListParagraph"/>
        <w:numPr>
          <w:ilvl w:val="2"/>
          <w:numId w:val="4"/>
        </w:numPr>
        <w:jc w:val="both"/>
        <w:rPr>
          <w:b/>
          <w:bCs/>
          <w:lang w:bidi="ar-EG"/>
        </w:rPr>
      </w:pPr>
      <w:r w:rsidRPr="00723D3B">
        <w:rPr>
          <w:b/>
          <w:bCs/>
          <w:lang w:bidi="ar-EG"/>
        </w:rPr>
        <w:t>Users and exporters</w:t>
      </w:r>
    </w:p>
    <w:p w:rsidR="00951C78" w:rsidRDefault="00AA39AC" w:rsidP="004003B2">
      <w:pPr>
        <w:ind w:left="360"/>
        <w:jc w:val="both"/>
        <w:rPr>
          <w:lang w:bidi="ar-EG"/>
        </w:rPr>
      </w:pPr>
      <w:r>
        <w:rPr>
          <w:lang w:bidi="ar-EG"/>
        </w:rPr>
        <w:t xml:space="preserve">1-2-2-1 </w:t>
      </w:r>
      <w:r w:rsidRPr="00AA39AC">
        <w:rPr>
          <w:lang w:bidi="ar-EG"/>
        </w:rPr>
        <w:t>Inter-Cairo for Aluminum Industry (IC),</w:t>
      </w:r>
      <w:r>
        <w:rPr>
          <w:lang w:bidi="ar-EG"/>
        </w:rPr>
        <w:t xml:space="preserve"> </w:t>
      </w:r>
      <w:proofErr w:type="spellStart"/>
      <w:r w:rsidRPr="00AA39AC">
        <w:rPr>
          <w:lang w:bidi="ar-EG"/>
        </w:rPr>
        <w:t>Delemar</w:t>
      </w:r>
      <w:proofErr w:type="spellEnd"/>
      <w:r w:rsidRPr="00AA39AC">
        <w:rPr>
          <w:lang w:bidi="ar-EG"/>
        </w:rPr>
        <w:t xml:space="preserve"> For Aluminum Profiles Production</w:t>
      </w:r>
      <w:r>
        <w:rPr>
          <w:lang w:bidi="ar-EG"/>
        </w:rPr>
        <w:t xml:space="preserve">, the </w:t>
      </w:r>
      <w:r w:rsidRPr="00AA39AC">
        <w:rPr>
          <w:lang w:bidi="ar-EG"/>
        </w:rPr>
        <w:t xml:space="preserve">Canadian International </w:t>
      </w:r>
      <w:proofErr w:type="spellStart"/>
      <w:r w:rsidRPr="00AA39AC">
        <w:rPr>
          <w:lang w:bidi="ar-EG"/>
        </w:rPr>
        <w:t>Aluminium</w:t>
      </w:r>
      <w:proofErr w:type="spellEnd"/>
      <w:r w:rsidRPr="00AA39AC">
        <w:rPr>
          <w:lang w:bidi="ar-EG"/>
        </w:rPr>
        <w:t xml:space="preserve"> Company </w:t>
      </w:r>
      <w:r>
        <w:rPr>
          <w:lang w:bidi="ar-EG"/>
        </w:rPr>
        <w:t>(</w:t>
      </w:r>
      <w:proofErr w:type="spellStart"/>
      <w:r w:rsidRPr="00AA39AC">
        <w:rPr>
          <w:lang w:bidi="ar-EG"/>
        </w:rPr>
        <w:t>Caluminium</w:t>
      </w:r>
      <w:proofErr w:type="spellEnd"/>
      <w:r w:rsidR="00C44912">
        <w:rPr>
          <w:lang w:bidi="ar-EG"/>
        </w:rPr>
        <w:t xml:space="preserve">), </w:t>
      </w:r>
      <w:r w:rsidR="00E711E2">
        <w:rPr>
          <w:lang w:bidi="ar-EG"/>
        </w:rPr>
        <w:t xml:space="preserve"> </w:t>
      </w:r>
      <w:r w:rsidR="00C44912">
        <w:rPr>
          <w:lang w:bidi="ar-EG"/>
        </w:rPr>
        <w:t xml:space="preserve">the </w:t>
      </w:r>
      <w:r w:rsidR="00C44912" w:rsidRPr="00C44912">
        <w:t>Egyptian Aluminum Company LTD.EGY-TAL</w:t>
      </w:r>
      <w:r w:rsidR="00C44912">
        <w:t xml:space="preserve">, </w:t>
      </w:r>
      <w:r w:rsidR="00C44912" w:rsidRPr="00C44912">
        <w:t>CANEX Aluminum</w:t>
      </w:r>
      <w:r w:rsidR="004003B2">
        <w:rPr>
          <w:lang w:bidi="ar-EG"/>
        </w:rPr>
        <w:t xml:space="preserve">, </w:t>
      </w:r>
      <w:proofErr w:type="spellStart"/>
      <w:r w:rsidR="004003B2">
        <w:rPr>
          <w:lang w:bidi="ar-EG"/>
        </w:rPr>
        <w:t>Urbansol</w:t>
      </w:r>
      <w:proofErr w:type="spellEnd"/>
      <w:r w:rsidR="004003B2">
        <w:rPr>
          <w:lang w:bidi="ar-EG"/>
        </w:rPr>
        <w:t xml:space="preserve"> International for Industrial Investments, </w:t>
      </w:r>
      <w:r w:rsidR="004003B2" w:rsidRPr="004003B2">
        <w:rPr>
          <w:lang w:bidi="ar-EG"/>
        </w:rPr>
        <w:t xml:space="preserve">Egyptian Electrical </w:t>
      </w:r>
      <w:proofErr w:type="spellStart"/>
      <w:r w:rsidR="004003B2" w:rsidRPr="004003B2">
        <w:rPr>
          <w:lang w:bidi="ar-EG"/>
        </w:rPr>
        <w:t>Cabels</w:t>
      </w:r>
      <w:proofErr w:type="spellEnd"/>
      <w:r w:rsidR="004003B2">
        <w:rPr>
          <w:lang w:bidi="ar-EG"/>
        </w:rPr>
        <w:t xml:space="preserve"> (Electro Cable Egypt), </w:t>
      </w:r>
      <w:proofErr w:type="spellStart"/>
      <w:r w:rsidR="004003B2" w:rsidRPr="004003B2">
        <w:rPr>
          <w:lang w:bidi="ar-EG"/>
        </w:rPr>
        <w:t>Alu</w:t>
      </w:r>
      <w:proofErr w:type="spellEnd"/>
      <w:r w:rsidR="004003B2" w:rsidRPr="004003B2">
        <w:rPr>
          <w:lang w:bidi="ar-EG"/>
        </w:rPr>
        <w:t xml:space="preserve"> </w:t>
      </w:r>
      <w:proofErr w:type="spellStart"/>
      <w:r w:rsidR="004003B2" w:rsidRPr="004003B2">
        <w:rPr>
          <w:lang w:bidi="ar-EG"/>
        </w:rPr>
        <w:t>Afric</w:t>
      </w:r>
      <w:proofErr w:type="spellEnd"/>
      <w:r w:rsidR="004003B2" w:rsidRPr="004003B2">
        <w:rPr>
          <w:lang w:bidi="ar-EG"/>
        </w:rPr>
        <w:t xml:space="preserve"> For Aluminum Industry </w:t>
      </w:r>
      <w:r w:rsidR="004003B2">
        <w:rPr>
          <w:lang w:bidi="ar-EG"/>
        </w:rPr>
        <w:t>and</w:t>
      </w:r>
      <w:r w:rsidR="004003B2" w:rsidRPr="004003B2">
        <w:rPr>
          <w:lang w:bidi="ar-EG"/>
        </w:rPr>
        <w:t xml:space="preserve"> Trading</w:t>
      </w:r>
      <w:r w:rsidR="004003B2">
        <w:rPr>
          <w:lang w:bidi="ar-EG"/>
        </w:rPr>
        <w:t>,</w:t>
      </w:r>
      <w:r w:rsidR="00000FED">
        <w:rPr>
          <w:lang w:bidi="ar-EG"/>
        </w:rPr>
        <w:t xml:space="preserve"> and</w:t>
      </w:r>
      <w:r w:rsidR="004003B2">
        <w:rPr>
          <w:lang w:bidi="ar-EG"/>
        </w:rPr>
        <w:t xml:space="preserve"> </w:t>
      </w:r>
      <w:proofErr w:type="spellStart"/>
      <w:r w:rsidR="004003B2">
        <w:rPr>
          <w:lang w:bidi="ar-EG"/>
        </w:rPr>
        <w:t>Unital</w:t>
      </w:r>
      <w:proofErr w:type="spellEnd"/>
      <w:r w:rsidR="004003B2">
        <w:rPr>
          <w:lang w:bidi="ar-EG"/>
        </w:rPr>
        <w:t xml:space="preserve"> for Aluminum Extrusion. </w:t>
      </w:r>
    </w:p>
    <w:p w:rsidR="00000FED" w:rsidRPr="004934CA" w:rsidRDefault="00000FED" w:rsidP="00000FED">
      <w:pPr>
        <w:pStyle w:val="ListParagraph"/>
        <w:numPr>
          <w:ilvl w:val="2"/>
          <w:numId w:val="4"/>
        </w:numPr>
        <w:jc w:val="both"/>
        <w:rPr>
          <w:b/>
          <w:bCs/>
          <w:lang w:bidi="ar-EG"/>
        </w:rPr>
      </w:pPr>
      <w:r w:rsidRPr="004934CA">
        <w:rPr>
          <w:b/>
          <w:bCs/>
          <w:lang w:bidi="ar-EG"/>
        </w:rPr>
        <w:t xml:space="preserve">Exporters </w:t>
      </w:r>
    </w:p>
    <w:p w:rsidR="009E24DB" w:rsidRDefault="00000FED" w:rsidP="00875969">
      <w:pPr>
        <w:ind w:left="360"/>
        <w:jc w:val="both"/>
        <w:rPr>
          <w:lang w:bidi="ar-EG"/>
        </w:rPr>
      </w:pPr>
      <w:r>
        <w:rPr>
          <w:lang w:bidi="ar-EG"/>
        </w:rPr>
        <w:t xml:space="preserve">1-2-3-1 </w:t>
      </w:r>
      <w:r w:rsidRPr="00000FED">
        <w:rPr>
          <w:lang w:bidi="ar-EG"/>
        </w:rPr>
        <w:t xml:space="preserve">Global Vietnam </w:t>
      </w:r>
      <w:proofErr w:type="spellStart"/>
      <w:r w:rsidRPr="00000FED">
        <w:rPr>
          <w:lang w:bidi="ar-EG"/>
        </w:rPr>
        <w:t>Aluminium</w:t>
      </w:r>
      <w:proofErr w:type="spellEnd"/>
      <w:r w:rsidRPr="00000FED">
        <w:rPr>
          <w:lang w:bidi="ar-EG"/>
        </w:rPr>
        <w:t xml:space="preserve"> Co., Ltd (</w:t>
      </w:r>
      <w:proofErr w:type="spellStart"/>
      <w:r w:rsidRPr="00000FED">
        <w:rPr>
          <w:lang w:bidi="ar-EG"/>
        </w:rPr>
        <w:t>Gva</w:t>
      </w:r>
      <w:proofErr w:type="spellEnd"/>
      <w:r w:rsidRPr="00000FED">
        <w:rPr>
          <w:lang w:bidi="ar-EG"/>
        </w:rPr>
        <w:t>)</w:t>
      </w:r>
      <w:r>
        <w:rPr>
          <w:lang w:bidi="ar-EG"/>
        </w:rPr>
        <w:t xml:space="preserve">, </w:t>
      </w:r>
      <w:r w:rsidRPr="00000FED">
        <w:rPr>
          <w:lang w:bidi="ar-EG"/>
        </w:rPr>
        <w:t>United Company RUSAL</w:t>
      </w:r>
      <w:r>
        <w:rPr>
          <w:lang w:bidi="ar-EG"/>
        </w:rPr>
        <w:t>-Russia,</w:t>
      </w:r>
      <w:r w:rsidRPr="00000FED">
        <w:t xml:space="preserve"> </w:t>
      </w:r>
      <w:proofErr w:type="spellStart"/>
      <w:r>
        <w:rPr>
          <w:lang w:bidi="ar-EG"/>
        </w:rPr>
        <w:t>Midal</w:t>
      </w:r>
      <w:proofErr w:type="spellEnd"/>
      <w:r>
        <w:rPr>
          <w:lang w:bidi="ar-EG"/>
        </w:rPr>
        <w:t xml:space="preserve"> Cables</w:t>
      </w:r>
      <w:r w:rsidR="00875969">
        <w:rPr>
          <w:lang w:bidi="ar-EG"/>
        </w:rPr>
        <w:t xml:space="preserve">, </w:t>
      </w:r>
      <w:proofErr w:type="spellStart"/>
      <w:r w:rsidR="00875969">
        <w:rPr>
          <w:lang w:bidi="ar-EG"/>
        </w:rPr>
        <w:t>Aluminium</w:t>
      </w:r>
      <w:proofErr w:type="spellEnd"/>
      <w:r w:rsidR="00875969">
        <w:rPr>
          <w:lang w:bidi="ar-EG"/>
        </w:rPr>
        <w:t xml:space="preserve"> Bahrain (Alba), </w:t>
      </w:r>
      <w:r w:rsidR="00875969" w:rsidRPr="00875969">
        <w:rPr>
          <w:lang w:bidi="ar-EG"/>
        </w:rPr>
        <w:t>United Integration for Metal Extrusion and Coating (Integrated Extrusion©)</w:t>
      </w:r>
      <w:r w:rsidR="00875969">
        <w:rPr>
          <w:lang w:bidi="ar-EG"/>
        </w:rPr>
        <w:t xml:space="preserve">, </w:t>
      </w:r>
      <w:r w:rsidR="00875969" w:rsidRPr="00875969">
        <w:rPr>
          <w:lang w:bidi="ar-EG"/>
        </w:rPr>
        <w:t>Kuwait Aluminum &amp; Brass IND Co.</w:t>
      </w:r>
    </w:p>
    <w:p w:rsidR="00875969" w:rsidRPr="004934CA" w:rsidRDefault="00875969" w:rsidP="00875969">
      <w:pPr>
        <w:pStyle w:val="ListParagraph"/>
        <w:numPr>
          <w:ilvl w:val="2"/>
          <w:numId w:val="4"/>
        </w:numPr>
        <w:jc w:val="both"/>
        <w:rPr>
          <w:b/>
          <w:bCs/>
          <w:lang w:bidi="ar-EG"/>
        </w:rPr>
      </w:pPr>
      <w:r w:rsidRPr="004934CA">
        <w:rPr>
          <w:b/>
          <w:bCs/>
          <w:lang w:bidi="ar-EG"/>
        </w:rPr>
        <w:t xml:space="preserve">Governments </w:t>
      </w:r>
    </w:p>
    <w:p w:rsidR="00875969" w:rsidRDefault="00875969" w:rsidP="00723D3B">
      <w:pPr>
        <w:ind w:left="360"/>
        <w:jc w:val="both"/>
      </w:pPr>
      <w:r>
        <w:t xml:space="preserve">1-2-4-1 Governments of exporting countries that introduced themselves as parties concerned with the investigation are the European Union, the UAE, Indonesia, Bahrain, Mexico, Taiwan, Russia, Turkey, the KSA, Vietnam, Kuwait, </w:t>
      </w:r>
      <w:r w:rsidR="00723D3B">
        <w:t>and Sultanate</w:t>
      </w:r>
      <w:r>
        <w:t xml:space="preserve"> of Oman.</w:t>
      </w:r>
    </w:p>
    <w:p w:rsidR="00875969" w:rsidRPr="00EE0881" w:rsidRDefault="00723D3B" w:rsidP="00875969">
      <w:pPr>
        <w:pStyle w:val="ListParagraph"/>
        <w:numPr>
          <w:ilvl w:val="1"/>
          <w:numId w:val="4"/>
        </w:numPr>
        <w:jc w:val="both"/>
        <w:rPr>
          <w:b/>
          <w:bCs/>
        </w:rPr>
      </w:pPr>
      <w:r>
        <w:rPr>
          <w:b/>
          <w:bCs/>
        </w:rPr>
        <w:t>Product subject to</w:t>
      </w:r>
      <w:r w:rsidR="00875969" w:rsidRPr="00EE0881">
        <w:rPr>
          <w:b/>
          <w:bCs/>
        </w:rPr>
        <w:t xml:space="preserve"> investigation</w:t>
      </w:r>
    </w:p>
    <w:p w:rsidR="000F6613" w:rsidRDefault="00875969" w:rsidP="00346844">
      <w:pPr>
        <w:pStyle w:val="ListParagraph"/>
        <w:numPr>
          <w:ilvl w:val="2"/>
          <w:numId w:val="4"/>
        </w:numPr>
        <w:jc w:val="both"/>
      </w:pPr>
      <w:r>
        <w:t>Aluminum products (</w:t>
      </w:r>
      <w:proofErr w:type="spellStart"/>
      <w:r>
        <w:t>mo</w:t>
      </w:r>
      <w:r w:rsidR="003B0749">
        <w:t>u</w:t>
      </w:r>
      <w:r>
        <w:t>lds</w:t>
      </w:r>
      <w:proofErr w:type="spellEnd"/>
      <w:r>
        <w:t xml:space="preserve">, cylinders, wire) </w:t>
      </w:r>
      <w:r w:rsidR="000F6613">
        <w:t xml:space="preserve">that fall under the following </w:t>
      </w:r>
      <w:r w:rsidR="00346844">
        <w:t xml:space="preserve">subheadings of </w:t>
      </w:r>
      <w:r w:rsidR="00CF6170">
        <w:t>the coordinated</w:t>
      </w:r>
      <w:r w:rsidR="00346844">
        <w:t xml:space="preserve"> customs tariff</w:t>
      </w:r>
      <w:r w:rsidR="000F6613">
        <w:t xml:space="preserve">: 760110, 760120, 760511. </w:t>
      </w:r>
    </w:p>
    <w:p w:rsidR="00567E58" w:rsidRDefault="00444DE3" w:rsidP="00444DE3">
      <w:pPr>
        <w:pStyle w:val="ListParagraph"/>
        <w:numPr>
          <w:ilvl w:val="2"/>
          <w:numId w:val="4"/>
        </w:numPr>
        <w:jc w:val="both"/>
      </w:pPr>
      <w:r>
        <w:t>The c</w:t>
      </w:r>
      <w:r w:rsidR="000F6613">
        <w:t xml:space="preserve">ustoms tariff number </w:t>
      </w:r>
      <w:r>
        <w:t xml:space="preserve">is </w:t>
      </w:r>
      <w:r w:rsidR="000F6613">
        <w:t xml:space="preserve">for guidance </w:t>
      </w:r>
      <w:r w:rsidR="00567E58">
        <w:t>and the decisive aspect is the description of the product.</w:t>
      </w:r>
    </w:p>
    <w:p w:rsidR="00567E58" w:rsidRPr="00EE0881" w:rsidRDefault="00567E58" w:rsidP="00567E58">
      <w:pPr>
        <w:pStyle w:val="ListParagraph"/>
        <w:numPr>
          <w:ilvl w:val="1"/>
          <w:numId w:val="4"/>
        </w:numPr>
        <w:jc w:val="both"/>
        <w:rPr>
          <w:b/>
          <w:bCs/>
        </w:rPr>
      </w:pPr>
      <w:r w:rsidRPr="00EE0881">
        <w:rPr>
          <w:b/>
          <w:bCs/>
        </w:rPr>
        <w:t>Details of investigation</w:t>
      </w:r>
    </w:p>
    <w:p w:rsidR="00567E58" w:rsidRDefault="00567E58" w:rsidP="003622BE">
      <w:pPr>
        <w:pStyle w:val="ListParagraph"/>
        <w:numPr>
          <w:ilvl w:val="2"/>
          <w:numId w:val="4"/>
        </w:numPr>
        <w:jc w:val="both"/>
      </w:pPr>
      <w:r>
        <w:t xml:space="preserve">The </w:t>
      </w:r>
      <w:r w:rsidR="003622BE">
        <w:t>unit</w:t>
      </w:r>
      <w:r w:rsidR="003622BE">
        <w:t xml:space="preserve"> </w:t>
      </w:r>
      <w:r>
        <w:t xml:space="preserve">used in this report is ‘ton’ for amount and </w:t>
      </w:r>
      <w:r w:rsidR="00444DE3">
        <w:t xml:space="preserve">the </w:t>
      </w:r>
      <w:r>
        <w:t>value is in (EGP).</w:t>
      </w:r>
      <w:r w:rsidR="003622BE">
        <w:t xml:space="preserve"> </w:t>
      </w:r>
    </w:p>
    <w:p w:rsidR="00567E58" w:rsidRDefault="00567E58" w:rsidP="003622BE">
      <w:pPr>
        <w:pStyle w:val="ListParagraph"/>
        <w:numPr>
          <w:ilvl w:val="2"/>
          <w:numId w:val="4"/>
        </w:numPr>
        <w:jc w:val="both"/>
      </w:pPr>
      <w:r>
        <w:t xml:space="preserve">The </w:t>
      </w:r>
      <w:r w:rsidR="003622BE">
        <w:t>currency</w:t>
      </w:r>
      <w:r w:rsidR="003622BE">
        <w:t xml:space="preserve"> </w:t>
      </w:r>
      <w:r>
        <w:t>used in analyzing the data mentioned in this report is EGP.</w:t>
      </w:r>
      <w:r w:rsidR="003622BE">
        <w:t xml:space="preserve"> </w:t>
      </w:r>
    </w:p>
    <w:p w:rsidR="00567E58" w:rsidRDefault="00444DE3" w:rsidP="00567E58">
      <w:pPr>
        <w:pStyle w:val="ListParagraph"/>
        <w:numPr>
          <w:ilvl w:val="2"/>
          <w:numId w:val="4"/>
        </w:numPr>
        <w:jc w:val="both"/>
      </w:pPr>
      <w:r>
        <w:t>The period</w:t>
      </w:r>
      <w:r w:rsidR="00567E58">
        <w:t xml:space="preserve"> of analyzing substantial injury are the financial years 2016/2017, 2017/2018, 2018/2019, the first half of 2016/2017 and the first half of 2019/2020. </w:t>
      </w:r>
    </w:p>
    <w:p w:rsidR="00875969" w:rsidRDefault="00567E58" w:rsidP="00567E58">
      <w:pPr>
        <w:pStyle w:val="ListParagraph"/>
        <w:numPr>
          <w:ilvl w:val="2"/>
          <w:numId w:val="4"/>
        </w:numPr>
        <w:jc w:val="both"/>
      </w:pPr>
      <w:r>
        <w:t>The official copy of this report is the copy drafted in Arabic.</w:t>
      </w:r>
      <w:r w:rsidR="000F6613">
        <w:t xml:space="preserve"> </w:t>
      </w:r>
    </w:p>
    <w:p w:rsidR="00567E58" w:rsidRPr="00EE0881" w:rsidRDefault="00444DE3" w:rsidP="00567E58">
      <w:pPr>
        <w:pStyle w:val="ListParagraph"/>
        <w:numPr>
          <w:ilvl w:val="1"/>
          <w:numId w:val="4"/>
        </w:numPr>
        <w:jc w:val="both"/>
        <w:rPr>
          <w:b/>
          <w:bCs/>
        </w:rPr>
      </w:pPr>
      <w:r>
        <w:rPr>
          <w:b/>
          <w:bCs/>
        </w:rPr>
        <w:t>Disclosure of</w:t>
      </w:r>
      <w:r w:rsidR="00567E58" w:rsidRPr="00EE0881">
        <w:rPr>
          <w:b/>
          <w:bCs/>
        </w:rPr>
        <w:t xml:space="preserve"> information</w:t>
      </w:r>
    </w:p>
    <w:p w:rsidR="00567E58" w:rsidRDefault="00567E58" w:rsidP="00CF5701">
      <w:pPr>
        <w:pStyle w:val="ListParagraph"/>
        <w:numPr>
          <w:ilvl w:val="2"/>
          <w:numId w:val="4"/>
        </w:numPr>
        <w:jc w:val="both"/>
        <w:rPr>
          <w:lang w:bidi="ar-EG"/>
        </w:rPr>
      </w:pPr>
      <w:r>
        <w:t xml:space="preserve">The Investigating Authority provides the concerned parties all the non-confidential information through the general file during the investigation period </w:t>
      </w:r>
      <w:r w:rsidR="00CF5701">
        <w:t xml:space="preserve">until the issuance of a final decision. </w:t>
      </w:r>
    </w:p>
    <w:p w:rsidR="00CF5701" w:rsidRPr="00681371" w:rsidRDefault="00CF5701" w:rsidP="00CF5701">
      <w:pPr>
        <w:pStyle w:val="ListParagraph"/>
        <w:numPr>
          <w:ilvl w:val="0"/>
          <w:numId w:val="4"/>
        </w:numPr>
        <w:jc w:val="both"/>
        <w:rPr>
          <w:b/>
          <w:bCs/>
        </w:rPr>
      </w:pPr>
      <w:r w:rsidRPr="00681371">
        <w:rPr>
          <w:b/>
          <w:bCs/>
        </w:rPr>
        <w:lastRenderedPageBreak/>
        <w:t>Local industry and the similar product</w:t>
      </w:r>
    </w:p>
    <w:p w:rsidR="00042D57" w:rsidRPr="00681371" w:rsidRDefault="00042D57" w:rsidP="00D7037B">
      <w:pPr>
        <w:pStyle w:val="ListParagraph"/>
        <w:numPr>
          <w:ilvl w:val="1"/>
          <w:numId w:val="4"/>
        </w:numPr>
        <w:jc w:val="both"/>
        <w:rPr>
          <w:b/>
          <w:bCs/>
        </w:rPr>
      </w:pPr>
      <w:r w:rsidRPr="00681371">
        <w:rPr>
          <w:b/>
          <w:bCs/>
        </w:rPr>
        <w:t>Local industry</w:t>
      </w:r>
      <w:r w:rsidR="00D7037B" w:rsidRPr="00681371">
        <w:rPr>
          <w:b/>
          <w:bCs/>
        </w:rPr>
        <w:t xml:space="preserve"> </w:t>
      </w:r>
    </w:p>
    <w:p w:rsidR="00D7037B" w:rsidRDefault="00D7037B" w:rsidP="00681371">
      <w:pPr>
        <w:pStyle w:val="ListParagraph"/>
        <w:numPr>
          <w:ilvl w:val="2"/>
          <w:numId w:val="4"/>
        </w:numPr>
        <w:jc w:val="both"/>
      </w:pPr>
      <w:proofErr w:type="spellStart"/>
      <w:r>
        <w:t>Misr</w:t>
      </w:r>
      <w:proofErr w:type="spellEnd"/>
      <w:r>
        <w:t xml:space="preserve"> Aluminum Company whose production represents 100% of the total local production of the similar product</w:t>
      </w:r>
      <w:r>
        <w:rPr>
          <w:rStyle w:val="FootnoteReference"/>
        </w:rPr>
        <w:footnoteReference w:id="7"/>
      </w:r>
      <w:r>
        <w:t>, therefore, the conditions enshrined in article 19 of the regulations and item (C) or the first paragraph of article (4)</w:t>
      </w:r>
      <w:r>
        <w:rPr>
          <w:rStyle w:val="FootnoteReference"/>
        </w:rPr>
        <w:footnoteReference w:id="8"/>
      </w:r>
      <w:r w:rsidR="00681371">
        <w:t xml:space="preserve"> of the S</w:t>
      </w:r>
      <w:r>
        <w:t xml:space="preserve">afeguard </w:t>
      </w:r>
      <w:r w:rsidR="00681371">
        <w:t>Agreement have</w:t>
      </w:r>
      <w:r>
        <w:t xml:space="preserve"> been secured. </w:t>
      </w:r>
    </w:p>
    <w:p w:rsidR="00D82FC0" w:rsidRPr="00681371" w:rsidRDefault="00D82FC0" w:rsidP="00D82FC0">
      <w:pPr>
        <w:pStyle w:val="ListParagraph"/>
        <w:numPr>
          <w:ilvl w:val="1"/>
          <w:numId w:val="4"/>
        </w:numPr>
        <w:jc w:val="both"/>
        <w:rPr>
          <w:b/>
          <w:bCs/>
        </w:rPr>
      </w:pPr>
      <w:r w:rsidRPr="00681371">
        <w:rPr>
          <w:b/>
          <w:bCs/>
        </w:rPr>
        <w:t>Similar/competitive product</w:t>
      </w:r>
    </w:p>
    <w:p w:rsidR="00D82FC0" w:rsidRDefault="00D82FC0" w:rsidP="00D82FC0">
      <w:pPr>
        <w:pStyle w:val="ListParagraph"/>
        <w:numPr>
          <w:ilvl w:val="2"/>
          <w:numId w:val="4"/>
        </w:numPr>
        <w:jc w:val="both"/>
      </w:pPr>
      <w:r>
        <w:t>Aluminum products (</w:t>
      </w:r>
      <w:proofErr w:type="spellStart"/>
      <w:r>
        <w:t>moulds</w:t>
      </w:r>
      <w:proofErr w:type="spellEnd"/>
      <w:r>
        <w:t xml:space="preserve">, cylinders, wire) of </w:t>
      </w:r>
      <w:r w:rsidR="00681371">
        <w:t>sub</w:t>
      </w:r>
      <w:r>
        <w:t xml:space="preserve">headings 760110, 760120, and 760511 of the coordinated </w:t>
      </w:r>
      <w:r w:rsidR="00681371">
        <w:t xml:space="preserve">customs </w:t>
      </w:r>
      <w:r>
        <w:t xml:space="preserve">tariff. </w:t>
      </w:r>
    </w:p>
    <w:p w:rsidR="00D82FC0" w:rsidRDefault="00D82FC0" w:rsidP="007C203A">
      <w:pPr>
        <w:pStyle w:val="ListParagraph"/>
        <w:numPr>
          <w:ilvl w:val="2"/>
          <w:numId w:val="4"/>
        </w:numPr>
        <w:jc w:val="both"/>
      </w:pPr>
      <w:r>
        <w:t>The local industry has presented information on the product it produces and sells in the local market and information on the concerned product. The Investigating Authority found that upon the data presented, the product that the local industry produces and the concerned product have the same physical properties, methods of production,</w:t>
      </w:r>
      <w:r w:rsidR="00681371">
        <w:t xml:space="preserve"> distribution channels, and us</w:t>
      </w:r>
      <w:r w:rsidR="007C203A">
        <w:t>es. They can replace</w:t>
      </w:r>
      <w:r>
        <w:t xml:space="preserve"> each other; they are similar and competitive. </w:t>
      </w:r>
    </w:p>
    <w:p w:rsidR="00D82FC0" w:rsidRPr="00681371" w:rsidRDefault="008D3900" w:rsidP="00D82FC0">
      <w:pPr>
        <w:pStyle w:val="ListParagraph"/>
        <w:numPr>
          <w:ilvl w:val="1"/>
          <w:numId w:val="4"/>
        </w:numPr>
        <w:jc w:val="both"/>
        <w:rPr>
          <w:b/>
          <w:bCs/>
        </w:rPr>
      </w:pPr>
      <w:r w:rsidRPr="00681371">
        <w:rPr>
          <w:b/>
          <w:bCs/>
        </w:rPr>
        <w:t>Investigation period</w:t>
      </w:r>
    </w:p>
    <w:p w:rsidR="008D3900" w:rsidRDefault="00681371" w:rsidP="008D3900">
      <w:pPr>
        <w:pStyle w:val="ListParagraph"/>
        <w:numPr>
          <w:ilvl w:val="2"/>
          <w:numId w:val="4"/>
        </w:numPr>
        <w:jc w:val="both"/>
      </w:pPr>
      <w:r>
        <w:t>The</w:t>
      </w:r>
      <w:r w:rsidR="008D3900">
        <w:t xml:space="preserve"> investigation period has been determined to cover the financial years 2016/2017, 2017/2018, 2018/2019, and the first half of 2019/2020. </w:t>
      </w:r>
    </w:p>
    <w:p w:rsidR="008D3900" w:rsidRPr="00681371" w:rsidRDefault="008D3900" w:rsidP="008D3900">
      <w:pPr>
        <w:pStyle w:val="ListParagraph"/>
        <w:numPr>
          <w:ilvl w:val="0"/>
          <w:numId w:val="4"/>
        </w:numPr>
        <w:jc w:val="both"/>
        <w:rPr>
          <w:b/>
          <w:bCs/>
        </w:rPr>
      </w:pPr>
      <w:r w:rsidRPr="00681371">
        <w:rPr>
          <w:b/>
          <w:bCs/>
        </w:rPr>
        <w:t>Unexpected developments and the volume of imports</w:t>
      </w:r>
    </w:p>
    <w:p w:rsidR="008D3900" w:rsidRPr="00681371" w:rsidRDefault="008D3900" w:rsidP="008D3900">
      <w:pPr>
        <w:pStyle w:val="ListParagraph"/>
        <w:numPr>
          <w:ilvl w:val="1"/>
          <w:numId w:val="4"/>
        </w:numPr>
        <w:jc w:val="both"/>
        <w:rPr>
          <w:b/>
          <w:bCs/>
        </w:rPr>
      </w:pPr>
      <w:r w:rsidRPr="00681371">
        <w:rPr>
          <w:b/>
          <w:bCs/>
        </w:rPr>
        <w:t xml:space="preserve">Unexpected developments </w:t>
      </w:r>
    </w:p>
    <w:p w:rsidR="008D3900" w:rsidRDefault="008D3900" w:rsidP="002D2C8D">
      <w:pPr>
        <w:jc w:val="both"/>
      </w:pPr>
      <w:r>
        <w:t>There have been unexpected developments as of 2017 to da</w:t>
      </w:r>
      <w:r w:rsidR="002D2C8D">
        <w:t>te, the period that witnessed substantial</w:t>
      </w:r>
      <w:r>
        <w:t xml:space="preserve"> increase of the imports of the concerned products. Such unexpected developments were represented in the following points: </w:t>
      </w:r>
    </w:p>
    <w:p w:rsidR="008D3900" w:rsidRDefault="008D3900" w:rsidP="002D2C8D">
      <w:pPr>
        <w:pStyle w:val="ListParagraph"/>
        <w:numPr>
          <w:ilvl w:val="0"/>
          <w:numId w:val="6"/>
        </w:numPr>
        <w:jc w:val="both"/>
      </w:pPr>
      <w:r>
        <w:t>The USA has imposed definitive safeguard duties in the second half of 2017/2018 on some steel and aluminum pr</w:t>
      </w:r>
      <w:r w:rsidR="00463312">
        <w:t>oducts imports from all sources, an aspect that led to a drop of such exports to the US huge market over 2018-2019 in comparison to 2017</w:t>
      </w:r>
      <w:r w:rsidR="002D2C8D">
        <w:t>,</w:t>
      </w:r>
      <w:r w:rsidR="00463312">
        <w:t xml:space="preserve"> the period preceding the imposition of safeguard duties by the USA. This represented pressure to such countries and led them to search for other selling outlets that would not incur the same value of t</w:t>
      </w:r>
      <w:r w:rsidR="007C203A">
        <w:t>he unprecedented imposed customs duties</w:t>
      </w:r>
      <w:r w:rsidR="00463312">
        <w:t xml:space="preserve">. Therefore, in the light of such developments, Egypt became an easy target for </w:t>
      </w:r>
      <w:r w:rsidR="002D2C8D">
        <w:t>substantial</w:t>
      </w:r>
      <w:r w:rsidR="00463312">
        <w:t xml:space="preserve"> amounts of aluminum imports. </w:t>
      </w:r>
    </w:p>
    <w:p w:rsidR="00463312" w:rsidRDefault="00463312" w:rsidP="008D3900">
      <w:pPr>
        <w:pStyle w:val="ListParagraph"/>
        <w:numPr>
          <w:ilvl w:val="0"/>
          <w:numId w:val="6"/>
        </w:numPr>
        <w:jc w:val="both"/>
      </w:pPr>
      <w:r>
        <w:t xml:space="preserve">Some producing countries have increased their production capacity to a great extent, an aspect considered a main motive for serious search for other big selling outlets that would absorb such additional production capacity. For example, some companies have operated production lines </w:t>
      </w:r>
      <w:r>
        <w:lastRenderedPageBreak/>
        <w:t xml:space="preserve">and added new </w:t>
      </w:r>
      <w:r>
        <w:rPr>
          <w:lang w:bidi="ar-EG"/>
        </w:rPr>
        <w:t xml:space="preserve">smelters. </w:t>
      </w:r>
      <w:r w:rsidRPr="007A6E87">
        <w:rPr>
          <w:u w:val="single"/>
          <w:lang w:bidi="ar-EG"/>
        </w:rPr>
        <w:t>Therefore, Egypt became a targeted destination to absorb big amounts of aluminum imports (the concerned products)</w:t>
      </w:r>
      <w:r>
        <w:rPr>
          <w:lang w:bidi="ar-EG"/>
        </w:rPr>
        <w:t xml:space="preserve">, an aspect that represented a big threat for the complainant company’s existence in the local market. </w:t>
      </w:r>
    </w:p>
    <w:p w:rsidR="00463312" w:rsidRPr="007A6E87" w:rsidRDefault="00463312" w:rsidP="00463312">
      <w:pPr>
        <w:pStyle w:val="ListParagraph"/>
        <w:numPr>
          <w:ilvl w:val="1"/>
          <w:numId w:val="4"/>
        </w:numPr>
        <w:jc w:val="both"/>
        <w:rPr>
          <w:b/>
          <w:bCs/>
          <w:lang w:bidi="ar-EG"/>
        </w:rPr>
      </w:pPr>
      <w:r w:rsidRPr="007A6E87">
        <w:rPr>
          <w:b/>
          <w:bCs/>
          <w:lang w:bidi="ar-EG"/>
        </w:rPr>
        <w:t xml:space="preserve">Volume of Imports </w:t>
      </w:r>
    </w:p>
    <w:p w:rsidR="00463312" w:rsidRPr="00663F87" w:rsidRDefault="00463312" w:rsidP="00663F87">
      <w:pPr>
        <w:pStyle w:val="ListParagraph"/>
        <w:ind w:left="732"/>
        <w:jc w:val="center"/>
        <w:rPr>
          <w:b/>
          <w:bCs/>
          <w:lang w:bidi="ar-EG"/>
        </w:rPr>
      </w:pPr>
      <w:r w:rsidRPr="00663F87">
        <w:rPr>
          <w:b/>
          <w:bCs/>
          <w:lang w:bidi="ar-EG"/>
        </w:rPr>
        <w:t>Table (3-1)</w:t>
      </w:r>
    </w:p>
    <w:p w:rsidR="00463312" w:rsidRDefault="00463312" w:rsidP="00663F87">
      <w:pPr>
        <w:pStyle w:val="ListParagraph"/>
        <w:ind w:left="732"/>
        <w:jc w:val="center"/>
        <w:rPr>
          <w:b/>
          <w:bCs/>
          <w:lang w:bidi="ar-EG"/>
        </w:rPr>
      </w:pPr>
      <w:r w:rsidRPr="00663F87">
        <w:rPr>
          <w:b/>
          <w:bCs/>
          <w:lang w:bidi="ar-EG"/>
        </w:rPr>
        <w:t>Absolute and relative increase of imports</w:t>
      </w:r>
    </w:p>
    <w:p w:rsidR="00772D51" w:rsidRPr="00663F87" w:rsidRDefault="00772D51" w:rsidP="00663F87">
      <w:pPr>
        <w:pStyle w:val="ListParagraph"/>
        <w:ind w:left="732"/>
        <w:jc w:val="center"/>
        <w:rPr>
          <w:b/>
          <w:bCs/>
          <w:lang w:bidi="ar-EG"/>
        </w:rPr>
      </w:pPr>
      <w:r>
        <w:rPr>
          <w:b/>
          <w:bCs/>
          <w:lang w:bidi="ar-EG"/>
        </w:rPr>
        <w:t xml:space="preserve">                                                                                                                                                           Unit: ton</w:t>
      </w:r>
    </w:p>
    <w:tbl>
      <w:tblPr>
        <w:tblStyle w:val="TableGrid"/>
        <w:tblW w:w="0" w:type="auto"/>
        <w:tblInd w:w="732" w:type="dxa"/>
        <w:tblLook w:val="04A0" w:firstRow="1" w:lastRow="0" w:firstColumn="1" w:lastColumn="0" w:noHBand="0" w:noVBand="1"/>
      </w:tblPr>
      <w:tblGrid>
        <w:gridCol w:w="1663"/>
        <w:gridCol w:w="1437"/>
        <w:gridCol w:w="1436"/>
        <w:gridCol w:w="1436"/>
        <w:gridCol w:w="1436"/>
        <w:gridCol w:w="1436"/>
      </w:tblGrid>
      <w:tr w:rsidR="00663F87" w:rsidTr="00663F87">
        <w:tc>
          <w:tcPr>
            <w:tcW w:w="1596" w:type="dxa"/>
          </w:tcPr>
          <w:p w:rsidR="00663F87" w:rsidRPr="0064194E" w:rsidRDefault="00663F87" w:rsidP="0064194E">
            <w:pPr>
              <w:pStyle w:val="ListParagraph"/>
              <w:ind w:left="0"/>
              <w:jc w:val="center"/>
              <w:rPr>
                <w:b/>
                <w:bCs/>
                <w:lang w:bidi="ar-EG"/>
              </w:rPr>
            </w:pPr>
            <w:r w:rsidRPr="0064194E">
              <w:rPr>
                <w:b/>
                <w:bCs/>
                <w:lang w:bidi="ar-EG"/>
              </w:rPr>
              <w:t>Description</w:t>
            </w:r>
          </w:p>
        </w:tc>
        <w:tc>
          <w:tcPr>
            <w:tcW w:w="1596" w:type="dxa"/>
          </w:tcPr>
          <w:p w:rsidR="00663F87" w:rsidRPr="0064194E" w:rsidRDefault="00663F87" w:rsidP="0064194E">
            <w:pPr>
              <w:pStyle w:val="ListParagraph"/>
              <w:ind w:left="0"/>
              <w:jc w:val="center"/>
              <w:rPr>
                <w:b/>
                <w:bCs/>
                <w:lang w:bidi="ar-EG"/>
              </w:rPr>
            </w:pPr>
            <w:r w:rsidRPr="0064194E">
              <w:rPr>
                <w:b/>
                <w:bCs/>
                <w:lang w:bidi="ar-EG"/>
              </w:rPr>
              <w:t>2016/2017</w:t>
            </w:r>
          </w:p>
        </w:tc>
        <w:tc>
          <w:tcPr>
            <w:tcW w:w="1596" w:type="dxa"/>
          </w:tcPr>
          <w:p w:rsidR="00663F87" w:rsidRPr="0064194E" w:rsidRDefault="00663F87" w:rsidP="0064194E">
            <w:pPr>
              <w:pStyle w:val="ListParagraph"/>
              <w:ind w:left="0"/>
              <w:jc w:val="center"/>
              <w:rPr>
                <w:b/>
                <w:bCs/>
                <w:lang w:bidi="ar-EG"/>
              </w:rPr>
            </w:pPr>
            <w:r w:rsidRPr="0064194E">
              <w:rPr>
                <w:b/>
                <w:bCs/>
                <w:lang w:bidi="ar-EG"/>
              </w:rPr>
              <w:t>2017/2018</w:t>
            </w:r>
          </w:p>
        </w:tc>
        <w:tc>
          <w:tcPr>
            <w:tcW w:w="1596" w:type="dxa"/>
          </w:tcPr>
          <w:p w:rsidR="00663F87" w:rsidRPr="0064194E" w:rsidRDefault="00663F87" w:rsidP="0064194E">
            <w:pPr>
              <w:pStyle w:val="ListParagraph"/>
              <w:ind w:left="0"/>
              <w:jc w:val="center"/>
              <w:rPr>
                <w:b/>
                <w:bCs/>
                <w:lang w:bidi="ar-EG"/>
              </w:rPr>
            </w:pPr>
            <w:r w:rsidRPr="0064194E">
              <w:rPr>
                <w:b/>
                <w:bCs/>
                <w:lang w:bidi="ar-EG"/>
              </w:rPr>
              <w:t>2018/2019</w:t>
            </w:r>
          </w:p>
        </w:tc>
        <w:tc>
          <w:tcPr>
            <w:tcW w:w="1596" w:type="dxa"/>
          </w:tcPr>
          <w:p w:rsidR="00663F87" w:rsidRPr="0064194E" w:rsidRDefault="00663F87" w:rsidP="0064194E">
            <w:pPr>
              <w:pStyle w:val="ListParagraph"/>
              <w:ind w:left="0"/>
              <w:jc w:val="center"/>
              <w:rPr>
                <w:b/>
                <w:bCs/>
                <w:lang w:bidi="ar-EG"/>
              </w:rPr>
            </w:pPr>
            <w:r w:rsidRPr="0064194E">
              <w:rPr>
                <w:b/>
                <w:bCs/>
                <w:lang w:bidi="ar-EG"/>
              </w:rPr>
              <w:t>First half</w:t>
            </w:r>
          </w:p>
          <w:p w:rsidR="00663F87" w:rsidRPr="0064194E" w:rsidRDefault="00663F87" w:rsidP="0064194E">
            <w:pPr>
              <w:pStyle w:val="ListParagraph"/>
              <w:ind w:left="0"/>
              <w:jc w:val="center"/>
              <w:rPr>
                <w:b/>
                <w:bCs/>
                <w:lang w:bidi="ar-EG"/>
              </w:rPr>
            </w:pPr>
            <w:r w:rsidRPr="0064194E">
              <w:rPr>
                <w:b/>
                <w:bCs/>
                <w:lang w:bidi="ar-EG"/>
              </w:rPr>
              <w:t>2016/2017</w:t>
            </w:r>
          </w:p>
        </w:tc>
        <w:tc>
          <w:tcPr>
            <w:tcW w:w="1596" w:type="dxa"/>
          </w:tcPr>
          <w:p w:rsidR="00663F87" w:rsidRPr="0064194E" w:rsidRDefault="00663F87" w:rsidP="0064194E">
            <w:pPr>
              <w:pStyle w:val="ListParagraph"/>
              <w:ind w:left="0"/>
              <w:jc w:val="center"/>
              <w:rPr>
                <w:b/>
                <w:bCs/>
                <w:lang w:bidi="ar-EG"/>
              </w:rPr>
            </w:pPr>
            <w:r w:rsidRPr="0064194E">
              <w:rPr>
                <w:b/>
                <w:bCs/>
                <w:lang w:bidi="ar-EG"/>
              </w:rPr>
              <w:t>First half</w:t>
            </w:r>
          </w:p>
          <w:p w:rsidR="00663F87" w:rsidRPr="0064194E" w:rsidRDefault="00663F87" w:rsidP="0064194E">
            <w:pPr>
              <w:pStyle w:val="ListParagraph"/>
              <w:ind w:left="0"/>
              <w:jc w:val="center"/>
              <w:rPr>
                <w:b/>
                <w:bCs/>
                <w:lang w:bidi="ar-EG"/>
              </w:rPr>
            </w:pPr>
            <w:r w:rsidRPr="0064194E">
              <w:rPr>
                <w:b/>
                <w:bCs/>
                <w:lang w:bidi="ar-EG"/>
              </w:rPr>
              <w:t>2019/2020</w:t>
            </w:r>
          </w:p>
        </w:tc>
      </w:tr>
      <w:tr w:rsidR="00663F87" w:rsidTr="00663F87">
        <w:tc>
          <w:tcPr>
            <w:tcW w:w="1596" w:type="dxa"/>
          </w:tcPr>
          <w:p w:rsidR="00663F87" w:rsidRDefault="00663F87" w:rsidP="0064194E">
            <w:pPr>
              <w:pStyle w:val="ListParagraph"/>
              <w:ind w:left="0"/>
              <w:jc w:val="center"/>
              <w:rPr>
                <w:lang w:bidi="ar-EG"/>
              </w:rPr>
            </w:pPr>
            <w:r>
              <w:rPr>
                <w:lang w:bidi="ar-EG"/>
              </w:rPr>
              <w:t>Volume of imports (ton)</w:t>
            </w:r>
          </w:p>
        </w:tc>
        <w:tc>
          <w:tcPr>
            <w:tcW w:w="1596" w:type="dxa"/>
          </w:tcPr>
          <w:p w:rsidR="00663F87" w:rsidRDefault="00663F87" w:rsidP="0064194E">
            <w:pPr>
              <w:pStyle w:val="ListParagraph"/>
              <w:ind w:left="0"/>
              <w:jc w:val="center"/>
              <w:rPr>
                <w:lang w:bidi="ar-EG"/>
              </w:rPr>
            </w:pPr>
            <w:r>
              <w:rPr>
                <w:lang w:bidi="ar-EG"/>
              </w:rPr>
              <w:t>1452</w:t>
            </w:r>
          </w:p>
        </w:tc>
        <w:tc>
          <w:tcPr>
            <w:tcW w:w="1596" w:type="dxa"/>
          </w:tcPr>
          <w:p w:rsidR="00663F87" w:rsidRDefault="00663F87" w:rsidP="0064194E">
            <w:pPr>
              <w:pStyle w:val="ListParagraph"/>
              <w:ind w:left="0"/>
              <w:jc w:val="center"/>
              <w:rPr>
                <w:lang w:bidi="ar-EG"/>
              </w:rPr>
            </w:pPr>
            <w:r>
              <w:rPr>
                <w:lang w:bidi="ar-EG"/>
              </w:rPr>
              <w:t>31378</w:t>
            </w:r>
          </w:p>
        </w:tc>
        <w:tc>
          <w:tcPr>
            <w:tcW w:w="1596" w:type="dxa"/>
          </w:tcPr>
          <w:p w:rsidR="00663F87" w:rsidRDefault="00663F87" w:rsidP="0064194E">
            <w:pPr>
              <w:pStyle w:val="ListParagraph"/>
              <w:ind w:left="0"/>
              <w:jc w:val="center"/>
              <w:rPr>
                <w:lang w:bidi="ar-EG"/>
              </w:rPr>
            </w:pPr>
            <w:r>
              <w:rPr>
                <w:lang w:bidi="ar-EG"/>
              </w:rPr>
              <w:t>75753</w:t>
            </w:r>
          </w:p>
        </w:tc>
        <w:tc>
          <w:tcPr>
            <w:tcW w:w="1596" w:type="dxa"/>
          </w:tcPr>
          <w:p w:rsidR="00663F87" w:rsidRDefault="00663F87" w:rsidP="0064194E">
            <w:pPr>
              <w:pStyle w:val="ListParagraph"/>
              <w:ind w:left="0"/>
              <w:jc w:val="center"/>
              <w:rPr>
                <w:lang w:bidi="ar-EG"/>
              </w:rPr>
            </w:pPr>
            <w:r>
              <w:rPr>
                <w:lang w:bidi="ar-EG"/>
              </w:rPr>
              <w:t>6333</w:t>
            </w:r>
          </w:p>
        </w:tc>
        <w:tc>
          <w:tcPr>
            <w:tcW w:w="1596" w:type="dxa"/>
          </w:tcPr>
          <w:p w:rsidR="00663F87" w:rsidRDefault="00663F87" w:rsidP="0064194E">
            <w:pPr>
              <w:pStyle w:val="ListParagraph"/>
              <w:ind w:left="0"/>
              <w:jc w:val="center"/>
              <w:rPr>
                <w:lang w:bidi="ar-EG"/>
              </w:rPr>
            </w:pPr>
            <w:r>
              <w:rPr>
                <w:lang w:bidi="ar-EG"/>
              </w:rPr>
              <w:t>39335</w:t>
            </w:r>
          </w:p>
        </w:tc>
      </w:tr>
      <w:tr w:rsidR="00663F87" w:rsidTr="00663F87">
        <w:tc>
          <w:tcPr>
            <w:tcW w:w="1596" w:type="dxa"/>
          </w:tcPr>
          <w:p w:rsidR="00663F87" w:rsidRDefault="00663F87" w:rsidP="0064194E">
            <w:pPr>
              <w:pStyle w:val="ListParagraph"/>
              <w:ind w:left="0"/>
              <w:jc w:val="center"/>
              <w:rPr>
                <w:lang w:bidi="ar-EG"/>
              </w:rPr>
            </w:pPr>
            <w:r>
              <w:rPr>
                <w:lang w:bidi="ar-EG"/>
              </w:rPr>
              <w:t>Index</w:t>
            </w:r>
          </w:p>
        </w:tc>
        <w:tc>
          <w:tcPr>
            <w:tcW w:w="1596" w:type="dxa"/>
          </w:tcPr>
          <w:p w:rsidR="00663F87" w:rsidRDefault="00663F87" w:rsidP="0064194E">
            <w:pPr>
              <w:pStyle w:val="ListParagraph"/>
              <w:ind w:left="0"/>
              <w:jc w:val="center"/>
              <w:rPr>
                <w:lang w:bidi="ar-EG"/>
              </w:rPr>
            </w:pPr>
            <w:r>
              <w:rPr>
                <w:lang w:bidi="ar-EG"/>
              </w:rPr>
              <w:t>100%</w:t>
            </w:r>
          </w:p>
        </w:tc>
        <w:tc>
          <w:tcPr>
            <w:tcW w:w="1596" w:type="dxa"/>
          </w:tcPr>
          <w:p w:rsidR="00663F87" w:rsidRDefault="00663F87" w:rsidP="0064194E">
            <w:pPr>
              <w:pStyle w:val="ListParagraph"/>
              <w:ind w:left="0"/>
              <w:jc w:val="center"/>
              <w:rPr>
                <w:lang w:bidi="ar-EG"/>
              </w:rPr>
            </w:pPr>
            <w:r>
              <w:rPr>
                <w:lang w:bidi="ar-EG"/>
              </w:rPr>
              <w:t>216%</w:t>
            </w:r>
          </w:p>
        </w:tc>
        <w:tc>
          <w:tcPr>
            <w:tcW w:w="1596" w:type="dxa"/>
          </w:tcPr>
          <w:p w:rsidR="00663F87" w:rsidRDefault="00663F87" w:rsidP="0064194E">
            <w:pPr>
              <w:pStyle w:val="ListParagraph"/>
              <w:ind w:left="0"/>
              <w:jc w:val="center"/>
              <w:rPr>
                <w:lang w:bidi="ar-EG"/>
              </w:rPr>
            </w:pPr>
            <w:r>
              <w:rPr>
                <w:lang w:bidi="ar-EG"/>
              </w:rPr>
              <w:t>522%</w:t>
            </w:r>
          </w:p>
        </w:tc>
        <w:tc>
          <w:tcPr>
            <w:tcW w:w="1596" w:type="dxa"/>
          </w:tcPr>
          <w:p w:rsidR="00663F87" w:rsidRDefault="00663F87" w:rsidP="0064194E">
            <w:pPr>
              <w:pStyle w:val="ListParagraph"/>
              <w:ind w:left="0"/>
              <w:jc w:val="center"/>
              <w:rPr>
                <w:lang w:bidi="ar-EG"/>
              </w:rPr>
            </w:pPr>
            <w:r>
              <w:rPr>
                <w:lang w:bidi="ar-EG"/>
              </w:rPr>
              <w:t>100%</w:t>
            </w:r>
          </w:p>
        </w:tc>
        <w:tc>
          <w:tcPr>
            <w:tcW w:w="1596" w:type="dxa"/>
          </w:tcPr>
          <w:p w:rsidR="00663F87" w:rsidRDefault="00663F87" w:rsidP="0064194E">
            <w:pPr>
              <w:pStyle w:val="ListParagraph"/>
              <w:ind w:left="0"/>
              <w:jc w:val="center"/>
              <w:rPr>
                <w:lang w:bidi="ar-EG"/>
              </w:rPr>
            </w:pPr>
            <w:r>
              <w:rPr>
                <w:lang w:bidi="ar-EG"/>
              </w:rPr>
              <w:t>621%</w:t>
            </w:r>
          </w:p>
        </w:tc>
      </w:tr>
      <w:tr w:rsidR="00663F87" w:rsidTr="00663F87">
        <w:tc>
          <w:tcPr>
            <w:tcW w:w="1596" w:type="dxa"/>
          </w:tcPr>
          <w:p w:rsidR="00663F87" w:rsidRDefault="00663F87" w:rsidP="0064194E">
            <w:pPr>
              <w:pStyle w:val="ListParagraph"/>
              <w:ind w:left="0"/>
              <w:jc w:val="center"/>
              <w:rPr>
                <w:lang w:bidi="ar-EG"/>
              </w:rPr>
            </w:pPr>
            <w:r>
              <w:rPr>
                <w:lang w:bidi="ar-EG"/>
              </w:rPr>
              <w:t>Production</w:t>
            </w:r>
          </w:p>
        </w:tc>
        <w:tc>
          <w:tcPr>
            <w:tcW w:w="1596" w:type="dxa"/>
          </w:tcPr>
          <w:p w:rsidR="00663F87" w:rsidRDefault="00663F87" w:rsidP="0064194E">
            <w:pPr>
              <w:pStyle w:val="ListParagraph"/>
              <w:numPr>
                <w:ilvl w:val="0"/>
                <w:numId w:val="7"/>
              </w:numPr>
              <w:jc w:val="center"/>
              <w:rPr>
                <w:lang w:bidi="ar-EG"/>
              </w:rPr>
            </w:pPr>
          </w:p>
        </w:tc>
        <w:tc>
          <w:tcPr>
            <w:tcW w:w="1596" w:type="dxa"/>
          </w:tcPr>
          <w:p w:rsidR="00663F87" w:rsidRDefault="00663F87" w:rsidP="0064194E">
            <w:pPr>
              <w:pStyle w:val="ListParagraph"/>
              <w:ind w:left="0"/>
              <w:jc w:val="center"/>
              <w:rPr>
                <w:lang w:bidi="ar-EG"/>
              </w:rPr>
            </w:pPr>
            <w:r>
              <w:rPr>
                <w:lang w:bidi="ar-EG"/>
              </w:rPr>
              <w:t>-</w:t>
            </w:r>
          </w:p>
        </w:tc>
        <w:tc>
          <w:tcPr>
            <w:tcW w:w="1596" w:type="dxa"/>
          </w:tcPr>
          <w:p w:rsidR="00663F87" w:rsidRDefault="00663F87" w:rsidP="0064194E">
            <w:pPr>
              <w:pStyle w:val="ListParagraph"/>
              <w:ind w:left="0"/>
              <w:jc w:val="center"/>
              <w:rPr>
                <w:lang w:bidi="ar-EG"/>
              </w:rPr>
            </w:pPr>
            <w:r>
              <w:rPr>
                <w:lang w:bidi="ar-EG"/>
              </w:rPr>
              <w:t>-</w:t>
            </w:r>
          </w:p>
        </w:tc>
        <w:tc>
          <w:tcPr>
            <w:tcW w:w="1596" w:type="dxa"/>
          </w:tcPr>
          <w:p w:rsidR="00663F87" w:rsidRDefault="00663F87" w:rsidP="0064194E">
            <w:pPr>
              <w:pStyle w:val="ListParagraph"/>
              <w:ind w:left="0"/>
              <w:jc w:val="center"/>
              <w:rPr>
                <w:lang w:bidi="ar-EG"/>
              </w:rPr>
            </w:pPr>
            <w:r>
              <w:rPr>
                <w:lang w:bidi="ar-EG"/>
              </w:rPr>
              <w:t>-</w:t>
            </w:r>
          </w:p>
        </w:tc>
        <w:tc>
          <w:tcPr>
            <w:tcW w:w="1596" w:type="dxa"/>
          </w:tcPr>
          <w:p w:rsidR="00663F87" w:rsidRDefault="00663F87" w:rsidP="0064194E">
            <w:pPr>
              <w:pStyle w:val="ListParagraph"/>
              <w:ind w:left="0"/>
              <w:jc w:val="center"/>
              <w:rPr>
                <w:lang w:bidi="ar-EG"/>
              </w:rPr>
            </w:pPr>
            <w:r>
              <w:rPr>
                <w:lang w:bidi="ar-EG"/>
              </w:rPr>
              <w:t>-</w:t>
            </w:r>
          </w:p>
        </w:tc>
      </w:tr>
      <w:tr w:rsidR="00663F87" w:rsidTr="00663F87">
        <w:tc>
          <w:tcPr>
            <w:tcW w:w="1596" w:type="dxa"/>
          </w:tcPr>
          <w:p w:rsidR="00663F87" w:rsidRDefault="00663F87" w:rsidP="0064194E">
            <w:pPr>
              <w:pStyle w:val="ListParagraph"/>
              <w:ind w:left="0"/>
              <w:jc w:val="center"/>
              <w:rPr>
                <w:lang w:bidi="ar-EG"/>
              </w:rPr>
            </w:pPr>
            <w:r>
              <w:rPr>
                <w:lang w:bidi="ar-EG"/>
              </w:rPr>
              <w:t>Volume of imports/volume of production</w:t>
            </w:r>
            <w:r w:rsidR="007A6E87">
              <w:rPr>
                <w:lang w:bidi="ar-EG"/>
              </w:rPr>
              <w:t>%</w:t>
            </w:r>
          </w:p>
        </w:tc>
        <w:tc>
          <w:tcPr>
            <w:tcW w:w="1596" w:type="dxa"/>
          </w:tcPr>
          <w:p w:rsidR="00663F87" w:rsidRDefault="00663F87" w:rsidP="0064194E">
            <w:pPr>
              <w:pStyle w:val="ListParagraph"/>
              <w:ind w:left="0"/>
              <w:jc w:val="center"/>
              <w:rPr>
                <w:lang w:bidi="ar-EG"/>
              </w:rPr>
            </w:pPr>
            <w:r>
              <w:rPr>
                <w:lang w:bidi="ar-EG"/>
              </w:rPr>
              <w:t>-</w:t>
            </w:r>
          </w:p>
        </w:tc>
        <w:tc>
          <w:tcPr>
            <w:tcW w:w="1596" w:type="dxa"/>
          </w:tcPr>
          <w:p w:rsidR="00663F87" w:rsidRDefault="00663F87" w:rsidP="0064194E">
            <w:pPr>
              <w:pStyle w:val="ListParagraph"/>
              <w:ind w:left="0"/>
              <w:jc w:val="center"/>
              <w:rPr>
                <w:lang w:bidi="ar-EG"/>
              </w:rPr>
            </w:pPr>
            <w:r>
              <w:rPr>
                <w:lang w:bidi="ar-EG"/>
              </w:rPr>
              <w:t>-</w:t>
            </w:r>
          </w:p>
        </w:tc>
        <w:tc>
          <w:tcPr>
            <w:tcW w:w="1596" w:type="dxa"/>
          </w:tcPr>
          <w:p w:rsidR="00663F87" w:rsidRDefault="00663F87" w:rsidP="0064194E">
            <w:pPr>
              <w:pStyle w:val="ListParagraph"/>
              <w:ind w:left="0"/>
              <w:jc w:val="center"/>
              <w:rPr>
                <w:lang w:bidi="ar-EG"/>
              </w:rPr>
            </w:pPr>
            <w:r>
              <w:rPr>
                <w:lang w:bidi="ar-EG"/>
              </w:rPr>
              <w:t>-</w:t>
            </w:r>
          </w:p>
        </w:tc>
        <w:tc>
          <w:tcPr>
            <w:tcW w:w="1596" w:type="dxa"/>
          </w:tcPr>
          <w:p w:rsidR="00663F87" w:rsidRDefault="00663F87" w:rsidP="0064194E">
            <w:pPr>
              <w:pStyle w:val="ListParagraph"/>
              <w:ind w:left="0"/>
              <w:jc w:val="center"/>
              <w:rPr>
                <w:lang w:bidi="ar-EG"/>
              </w:rPr>
            </w:pPr>
            <w:r>
              <w:rPr>
                <w:lang w:bidi="ar-EG"/>
              </w:rPr>
              <w:t>-</w:t>
            </w:r>
          </w:p>
        </w:tc>
        <w:tc>
          <w:tcPr>
            <w:tcW w:w="1596" w:type="dxa"/>
          </w:tcPr>
          <w:p w:rsidR="00663F87" w:rsidRDefault="00663F87" w:rsidP="0064194E">
            <w:pPr>
              <w:pStyle w:val="ListParagraph"/>
              <w:ind w:left="0"/>
              <w:jc w:val="center"/>
              <w:rPr>
                <w:lang w:bidi="ar-EG"/>
              </w:rPr>
            </w:pPr>
            <w:r>
              <w:rPr>
                <w:lang w:bidi="ar-EG"/>
              </w:rPr>
              <w:t>-</w:t>
            </w:r>
          </w:p>
        </w:tc>
      </w:tr>
      <w:tr w:rsidR="00663F87" w:rsidTr="00663F87">
        <w:tc>
          <w:tcPr>
            <w:tcW w:w="1596" w:type="dxa"/>
          </w:tcPr>
          <w:p w:rsidR="00663F87" w:rsidRDefault="00663F87" w:rsidP="0064194E">
            <w:pPr>
              <w:pStyle w:val="ListParagraph"/>
              <w:ind w:left="0"/>
              <w:jc w:val="center"/>
              <w:rPr>
                <w:lang w:bidi="ar-EG"/>
              </w:rPr>
            </w:pPr>
            <w:r>
              <w:rPr>
                <w:lang w:bidi="ar-EG"/>
              </w:rPr>
              <w:t>Index</w:t>
            </w:r>
          </w:p>
        </w:tc>
        <w:tc>
          <w:tcPr>
            <w:tcW w:w="1596" w:type="dxa"/>
          </w:tcPr>
          <w:p w:rsidR="00663F87" w:rsidRDefault="00663F87" w:rsidP="0064194E">
            <w:pPr>
              <w:pStyle w:val="ListParagraph"/>
              <w:ind w:left="0"/>
              <w:jc w:val="center"/>
              <w:rPr>
                <w:lang w:bidi="ar-EG"/>
              </w:rPr>
            </w:pPr>
            <w:r>
              <w:rPr>
                <w:lang w:bidi="ar-EG"/>
              </w:rPr>
              <w:t>100%</w:t>
            </w:r>
          </w:p>
        </w:tc>
        <w:tc>
          <w:tcPr>
            <w:tcW w:w="1596" w:type="dxa"/>
          </w:tcPr>
          <w:p w:rsidR="00663F87" w:rsidRDefault="00663F87" w:rsidP="0064194E">
            <w:pPr>
              <w:pStyle w:val="ListParagraph"/>
              <w:ind w:left="0"/>
              <w:jc w:val="center"/>
              <w:rPr>
                <w:lang w:bidi="ar-EG"/>
              </w:rPr>
            </w:pPr>
            <w:r>
              <w:rPr>
                <w:lang w:bidi="ar-EG"/>
              </w:rPr>
              <w:t>229%</w:t>
            </w:r>
          </w:p>
        </w:tc>
        <w:tc>
          <w:tcPr>
            <w:tcW w:w="1596" w:type="dxa"/>
          </w:tcPr>
          <w:p w:rsidR="00663F87" w:rsidRDefault="00663F87" w:rsidP="0064194E">
            <w:pPr>
              <w:pStyle w:val="ListParagraph"/>
              <w:ind w:left="0"/>
              <w:jc w:val="center"/>
              <w:rPr>
                <w:lang w:bidi="ar-EG"/>
              </w:rPr>
            </w:pPr>
            <w:r>
              <w:rPr>
                <w:lang w:bidi="ar-EG"/>
              </w:rPr>
              <w:t>557%</w:t>
            </w:r>
          </w:p>
        </w:tc>
        <w:tc>
          <w:tcPr>
            <w:tcW w:w="1596" w:type="dxa"/>
          </w:tcPr>
          <w:p w:rsidR="00663F87" w:rsidRDefault="00663F87" w:rsidP="0064194E">
            <w:pPr>
              <w:pStyle w:val="ListParagraph"/>
              <w:ind w:left="0"/>
              <w:jc w:val="center"/>
              <w:rPr>
                <w:lang w:bidi="ar-EG"/>
              </w:rPr>
            </w:pPr>
            <w:r>
              <w:rPr>
                <w:lang w:bidi="ar-EG"/>
              </w:rPr>
              <w:t>100%</w:t>
            </w:r>
          </w:p>
        </w:tc>
        <w:tc>
          <w:tcPr>
            <w:tcW w:w="1596" w:type="dxa"/>
          </w:tcPr>
          <w:p w:rsidR="00663F87" w:rsidRDefault="00663F87" w:rsidP="0064194E">
            <w:pPr>
              <w:pStyle w:val="ListParagraph"/>
              <w:ind w:left="0"/>
              <w:jc w:val="center"/>
              <w:rPr>
                <w:lang w:bidi="ar-EG"/>
              </w:rPr>
            </w:pPr>
            <w:r>
              <w:rPr>
                <w:lang w:bidi="ar-EG"/>
              </w:rPr>
              <w:t>717%</w:t>
            </w:r>
          </w:p>
          <w:p w:rsidR="00663F87" w:rsidRDefault="00663F87" w:rsidP="0064194E">
            <w:pPr>
              <w:pStyle w:val="ListParagraph"/>
              <w:ind w:left="0"/>
              <w:jc w:val="center"/>
              <w:rPr>
                <w:lang w:bidi="ar-EG"/>
              </w:rPr>
            </w:pPr>
          </w:p>
        </w:tc>
      </w:tr>
    </w:tbl>
    <w:p w:rsidR="007A6E87" w:rsidRDefault="00463312" w:rsidP="0064194E">
      <w:pPr>
        <w:pStyle w:val="ListParagraph"/>
        <w:ind w:left="732"/>
        <w:jc w:val="both"/>
        <w:rPr>
          <w:lang w:bidi="ar-EG"/>
        </w:rPr>
      </w:pPr>
      <w:r>
        <w:rPr>
          <w:lang w:bidi="ar-EG"/>
        </w:rPr>
        <w:t xml:space="preserve"> </w:t>
      </w:r>
      <w:r w:rsidR="0064194E">
        <w:rPr>
          <w:lang w:bidi="ar-EG"/>
        </w:rPr>
        <w:t xml:space="preserve">Source: General </w:t>
      </w:r>
      <w:proofErr w:type="spellStart"/>
      <w:r w:rsidR="0064194E">
        <w:rPr>
          <w:lang w:bidi="ar-EG"/>
        </w:rPr>
        <w:t>Organisation</w:t>
      </w:r>
      <w:proofErr w:type="spellEnd"/>
      <w:r w:rsidR="0064194E">
        <w:rPr>
          <w:lang w:bidi="ar-EG"/>
        </w:rPr>
        <w:t xml:space="preserve"> for Export and Import Control</w:t>
      </w:r>
      <w:r w:rsidR="007A6E87">
        <w:rPr>
          <w:lang w:bidi="ar-EG"/>
        </w:rPr>
        <w:t xml:space="preserve"> (GOIEC)</w:t>
      </w:r>
    </w:p>
    <w:p w:rsidR="00463312" w:rsidRDefault="007A6E87" w:rsidP="0064194E">
      <w:pPr>
        <w:pStyle w:val="ListParagraph"/>
        <w:ind w:left="732"/>
        <w:jc w:val="both"/>
        <w:rPr>
          <w:lang w:bidi="ar-EG"/>
        </w:rPr>
      </w:pPr>
      <w:r>
        <w:rPr>
          <w:lang w:bidi="ar-EG"/>
        </w:rPr>
        <w:t>Comparison: basic year</w:t>
      </w:r>
      <w:r w:rsidR="0064194E">
        <w:rPr>
          <w:lang w:bidi="ar-EG"/>
        </w:rPr>
        <w:t xml:space="preserve"> </w:t>
      </w:r>
    </w:p>
    <w:p w:rsidR="0064194E" w:rsidRDefault="0064194E" w:rsidP="0064194E">
      <w:pPr>
        <w:pStyle w:val="ListParagraph"/>
        <w:ind w:left="732"/>
        <w:jc w:val="both"/>
        <w:rPr>
          <w:lang w:bidi="ar-EG"/>
        </w:rPr>
      </w:pPr>
    </w:p>
    <w:p w:rsidR="0064194E" w:rsidRDefault="000F6B37" w:rsidP="0064194E">
      <w:pPr>
        <w:pStyle w:val="ListParagraph"/>
        <w:numPr>
          <w:ilvl w:val="2"/>
          <w:numId w:val="4"/>
        </w:numPr>
        <w:jc w:val="both"/>
      </w:pPr>
      <w:r>
        <w:t>T</w:t>
      </w:r>
      <w:r w:rsidR="0064194E">
        <w:t>he previous table shows the absolutely increased volume of imports at acute percentages that reached 116% and 422% in the financial years 2017/2018 and 2018/2019 respectively in comparison to 2016/2017. Imports continued increasing acutely in the first half of financial year 2019/2020 in comparison to the same period of the financial year 2016/2017 to reach 521%.</w:t>
      </w:r>
    </w:p>
    <w:p w:rsidR="00D8187B" w:rsidRDefault="0064194E" w:rsidP="00D8187B">
      <w:pPr>
        <w:pStyle w:val="ListParagraph"/>
        <w:numPr>
          <w:ilvl w:val="2"/>
          <w:numId w:val="4"/>
        </w:numPr>
        <w:jc w:val="both"/>
      </w:pPr>
      <w:r>
        <w:t xml:space="preserve">The previous table shows also the increase of the volume of imports in comparison to local production at acute percentages </w:t>
      </w:r>
      <w:r w:rsidR="00D8187B">
        <w:t>that reached 129% and 457% over the financial years 2017/20218 and 2018/2019 respectively in comparison to 2016/2017. In the first half of the financial year 2019/2020, relative substantial and acute increase of imports persisted at 617% in comparison to 2016/2017.</w:t>
      </w:r>
    </w:p>
    <w:p w:rsidR="00D8187B" w:rsidRPr="00D8187B" w:rsidRDefault="00D8187B" w:rsidP="00D8187B">
      <w:pPr>
        <w:jc w:val="both"/>
        <w:rPr>
          <w:b/>
          <w:bCs/>
        </w:rPr>
      </w:pPr>
      <w:r w:rsidRPr="00D8187B">
        <w:rPr>
          <w:b/>
          <w:bCs/>
        </w:rPr>
        <w:t xml:space="preserve">Findings </w:t>
      </w:r>
    </w:p>
    <w:p w:rsidR="0064194E" w:rsidRDefault="00DF731F" w:rsidP="00DF731F">
      <w:pPr>
        <w:jc w:val="both"/>
      </w:pPr>
      <w:r>
        <w:t>3-2-3 T</w:t>
      </w:r>
      <w:r w:rsidR="00D8187B">
        <w:t xml:space="preserve">he Investigating Authority found that there is substantial, acute, </w:t>
      </w:r>
      <w:proofErr w:type="gramStart"/>
      <w:r w:rsidR="00D8187B">
        <w:t>and sudden increase</w:t>
      </w:r>
      <w:r w:rsidR="00EB46AD">
        <w:t xml:space="preserve"> </w:t>
      </w:r>
      <w:r w:rsidR="0025038F">
        <w:t xml:space="preserve">in the volume of </w:t>
      </w:r>
      <w:r>
        <w:t xml:space="preserve">the </w:t>
      </w:r>
      <w:r w:rsidR="0025038F">
        <w:t>imports of the concerned product</w:t>
      </w:r>
      <w:r w:rsidR="006661A5">
        <w:t>,</w:t>
      </w:r>
      <w:r w:rsidR="0025038F">
        <w:t xml:space="preserve"> be that absolutely or in comparison to local production in accordance to provisions of article (81)</w:t>
      </w:r>
      <w:r w:rsidR="0025038F">
        <w:rPr>
          <w:rStyle w:val="FootnoteReference"/>
        </w:rPr>
        <w:footnoteReference w:id="9"/>
      </w:r>
      <w:proofErr w:type="gramEnd"/>
      <w:r w:rsidR="0025038F">
        <w:t xml:space="preserve"> of</w:t>
      </w:r>
      <w:r w:rsidR="000F6B37">
        <w:t xml:space="preserve"> the executive regulations, </w:t>
      </w:r>
      <w:r>
        <w:t>and</w:t>
      </w:r>
      <w:r w:rsidR="0025038F">
        <w:t xml:space="preserve"> such increase is due to the unexpecte</w:t>
      </w:r>
      <w:r w:rsidR="000F6B37">
        <w:t>d developments as mentioned in section 3</w:t>
      </w:r>
      <w:r w:rsidR="0025038F">
        <w:t xml:space="preserve"> of this report.  </w:t>
      </w:r>
      <w:r w:rsidR="00EB46AD">
        <w:t xml:space="preserve"> </w:t>
      </w:r>
      <w:r w:rsidR="00D8187B">
        <w:t xml:space="preserve">  </w:t>
      </w:r>
      <w:r w:rsidR="0064194E">
        <w:t xml:space="preserve">  </w:t>
      </w:r>
    </w:p>
    <w:p w:rsidR="0064194E" w:rsidRPr="00DE16D1" w:rsidRDefault="00DE16D1" w:rsidP="00DE16D1">
      <w:pPr>
        <w:pStyle w:val="ListParagraph"/>
        <w:numPr>
          <w:ilvl w:val="0"/>
          <w:numId w:val="4"/>
        </w:numPr>
        <w:jc w:val="both"/>
        <w:rPr>
          <w:b/>
          <w:bCs/>
        </w:rPr>
      </w:pPr>
      <w:r w:rsidRPr="00DE16D1">
        <w:rPr>
          <w:b/>
          <w:bCs/>
        </w:rPr>
        <w:lastRenderedPageBreak/>
        <w:t>Substantial injury</w:t>
      </w:r>
      <w:r w:rsidR="0092142A">
        <w:rPr>
          <w:rStyle w:val="FootnoteReference"/>
          <w:b/>
          <w:bCs/>
        </w:rPr>
        <w:footnoteReference w:id="10"/>
      </w:r>
      <w:r w:rsidRPr="00DE16D1">
        <w:rPr>
          <w:b/>
          <w:bCs/>
        </w:rPr>
        <w:t xml:space="preserve"> </w:t>
      </w:r>
    </w:p>
    <w:p w:rsidR="00DE16D1" w:rsidRPr="00DE16D1" w:rsidRDefault="00DE16D1" w:rsidP="00DE16D1">
      <w:pPr>
        <w:pStyle w:val="ListParagraph"/>
        <w:numPr>
          <w:ilvl w:val="1"/>
          <w:numId w:val="4"/>
        </w:numPr>
        <w:jc w:val="both"/>
        <w:rPr>
          <w:b/>
          <w:bCs/>
        </w:rPr>
      </w:pPr>
      <w:r w:rsidRPr="00DE16D1">
        <w:rPr>
          <w:b/>
          <w:bCs/>
        </w:rPr>
        <w:t xml:space="preserve">Introduction </w:t>
      </w:r>
    </w:p>
    <w:p w:rsidR="00DE16D1" w:rsidRDefault="00395915" w:rsidP="00395915">
      <w:pPr>
        <w:pStyle w:val="ListParagraph"/>
        <w:numPr>
          <w:ilvl w:val="2"/>
          <w:numId w:val="4"/>
        </w:numPr>
        <w:jc w:val="both"/>
      </w:pPr>
      <w:r>
        <w:t>In</w:t>
      </w:r>
      <w:r w:rsidR="007C759F">
        <w:t xml:space="preserve"> the</w:t>
      </w:r>
      <w:r w:rsidR="00DE16D1">
        <w:t xml:space="preserve"> previous part of the rep</w:t>
      </w:r>
      <w:r>
        <w:t>ort on the volume of imports,</w:t>
      </w:r>
      <w:r w:rsidR="00DE16D1">
        <w:t xml:space="preserve"> </w:t>
      </w:r>
      <w:r>
        <w:t>the Investigating Authority found absolute and relative</w:t>
      </w:r>
      <w:r w:rsidR="00DE16D1">
        <w:t xml:space="preserve"> substantial increase in the volume of imports of the concerned product</w:t>
      </w:r>
      <w:r w:rsidR="007C759F">
        <w:t>.</w:t>
      </w:r>
    </w:p>
    <w:p w:rsidR="00772D51" w:rsidRDefault="007C759F" w:rsidP="00DB7A99">
      <w:pPr>
        <w:pStyle w:val="ListParagraph"/>
        <w:numPr>
          <w:ilvl w:val="2"/>
          <w:numId w:val="4"/>
        </w:numPr>
        <w:jc w:val="both"/>
      </w:pPr>
      <w:r>
        <w:t>In this part of the report, the Investigating Authority has</w:t>
      </w:r>
      <w:r w:rsidR="00772D51">
        <w:t xml:space="preserve"> </w:t>
      </w:r>
      <w:r w:rsidR="006661A5">
        <w:t>analyzed</w:t>
      </w:r>
      <w:r w:rsidR="00772D51">
        <w:t xml:space="preserve"> the industry’s economic indexes</w:t>
      </w:r>
      <w:r w:rsidR="006661A5">
        <w:t>,</w:t>
      </w:r>
      <w:r w:rsidR="00772D51">
        <w:t xml:space="preserve"> stated in paragraph (2) of article (81)</w:t>
      </w:r>
      <w:r w:rsidR="0092142A">
        <w:rPr>
          <w:rStyle w:val="FootnoteReference"/>
        </w:rPr>
        <w:footnoteReference w:id="11"/>
      </w:r>
      <w:r w:rsidR="00772D51">
        <w:t xml:space="preserve"> of the regulations</w:t>
      </w:r>
      <w:r w:rsidR="006661A5">
        <w:t>,</w:t>
      </w:r>
      <w:r w:rsidR="00395915">
        <w:t xml:space="preserve"> over the period</w:t>
      </w:r>
      <w:r w:rsidR="00C0794F">
        <w:t xml:space="preserve"> that mark</w:t>
      </w:r>
      <w:r w:rsidR="00772D51">
        <w:t>ed substantial, acute, and sudden increase of imports and the extent</w:t>
      </w:r>
      <w:r w:rsidR="00DB7A99">
        <w:t xml:space="preserve"> of the substantial injury to </w:t>
      </w:r>
      <w:r w:rsidR="00772D51">
        <w:t xml:space="preserve">the local industry because of such increase. </w:t>
      </w:r>
    </w:p>
    <w:p w:rsidR="00772D51" w:rsidRPr="00A0632E" w:rsidRDefault="00772D51" w:rsidP="00772D51">
      <w:pPr>
        <w:pStyle w:val="ListParagraph"/>
        <w:numPr>
          <w:ilvl w:val="1"/>
          <w:numId w:val="4"/>
        </w:numPr>
        <w:jc w:val="both"/>
        <w:rPr>
          <w:b/>
          <w:bCs/>
        </w:rPr>
      </w:pPr>
      <w:r w:rsidRPr="00A0632E">
        <w:rPr>
          <w:b/>
          <w:bCs/>
        </w:rPr>
        <w:t xml:space="preserve">Economic indexes </w:t>
      </w:r>
    </w:p>
    <w:p w:rsidR="00772D51" w:rsidRPr="00A0632E" w:rsidRDefault="00772D51" w:rsidP="00772D51">
      <w:pPr>
        <w:pStyle w:val="ListParagraph"/>
        <w:numPr>
          <w:ilvl w:val="2"/>
          <w:numId w:val="4"/>
        </w:numPr>
        <w:jc w:val="both"/>
        <w:rPr>
          <w:b/>
          <w:bCs/>
        </w:rPr>
      </w:pPr>
      <w:r w:rsidRPr="00A0632E">
        <w:rPr>
          <w:b/>
          <w:bCs/>
        </w:rPr>
        <w:t>Sales and market share</w:t>
      </w:r>
    </w:p>
    <w:p w:rsidR="00772D51" w:rsidRPr="00DB4080" w:rsidRDefault="00772D51" w:rsidP="00DB4080">
      <w:pPr>
        <w:jc w:val="center"/>
        <w:rPr>
          <w:b/>
          <w:bCs/>
        </w:rPr>
      </w:pPr>
      <w:r w:rsidRPr="00DB4080">
        <w:rPr>
          <w:b/>
          <w:bCs/>
        </w:rPr>
        <w:t>Table (4-1)</w:t>
      </w:r>
    </w:p>
    <w:p w:rsidR="00772D51" w:rsidRPr="00DB4080" w:rsidRDefault="00772D51" w:rsidP="00DB4080">
      <w:pPr>
        <w:jc w:val="center"/>
        <w:rPr>
          <w:b/>
          <w:bCs/>
        </w:rPr>
      </w:pPr>
      <w:r w:rsidRPr="00DB4080">
        <w:rPr>
          <w:b/>
          <w:bCs/>
        </w:rPr>
        <w:t>Sales and market share</w:t>
      </w:r>
    </w:p>
    <w:p w:rsidR="00DB4080" w:rsidRPr="00DB4080" w:rsidRDefault="007C759F" w:rsidP="00772D51">
      <w:pPr>
        <w:jc w:val="both"/>
        <w:rPr>
          <w:b/>
          <w:bCs/>
          <w:rtl/>
        </w:rPr>
      </w:pPr>
      <w:r w:rsidRPr="00DB4080">
        <w:rPr>
          <w:b/>
          <w:bCs/>
        </w:rPr>
        <w:t xml:space="preserve"> </w:t>
      </w:r>
      <w:r w:rsidR="00DB4080" w:rsidRPr="00DB4080">
        <w:rPr>
          <w:b/>
          <w:bCs/>
        </w:rPr>
        <w:t xml:space="preserve">          </w:t>
      </w:r>
      <w:r w:rsidR="00DB4080">
        <w:rPr>
          <w:b/>
          <w:bCs/>
        </w:rPr>
        <w:t xml:space="preserve">                                                                                                                                                 </w:t>
      </w:r>
      <w:r w:rsidR="00DB4080" w:rsidRPr="00DB4080">
        <w:rPr>
          <w:b/>
          <w:bCs/>
        </w:rPr>
        <w:t xml:space="preserve">  Volume: (in ton)</w:t>
      </w:r>
    </w:p>
    <w:tbl>
      <w:tblPr>
        <w:tblStyle w:val="TableGrid"/>
        <w:tblW w:w="0" w:type="auto"/>
        <w:tblInd w:w="732" w:type="dxa"/>
        <w:tblLook w:val="04A0" w:firstRow="1" w:lastRow="0" w:firstColumn="1" w:lastColumn="0" w:noHBand="0" w:noVBand="1"/>
      </w:tblPr>
      <w:tblGrid>
        <w:gridCol w:w="1489"/>
        <w:gridCol w:w="1471"/>
        <w:gridCol w:w="1471"/>
        <w:gridCol w:w="1471"/>
        <w:gridCol w:w="1471"/>
        <w:gridCol w:w="1471"/>
      </w:tblGrid>
      <w:tr w:rsidR="00DB4080" w:rsidRPr="0064194E" w:rsidTr="00AD74D5">
        <w:tc>
          <w:tcPr>
            <w:tcW w:w="1596" w:type="dxa"/>
          </w:tcPr>
          <w:p w:rsidR="00DB4080" w:rsidRPr="0064194E" w:rsidRDefault="00DB4080" w:rsidP="00AD74D5">
            <w:pPr>
              <w:pStyle w:val="ListParagraph"/>
              <w:ind w:left="0"/>
              <w:jc w:val="center"/>
              <w:rPr>
                <w:b/>
                <w:bCs/>
                <w:lang w:bidi="ar-EG"/>
              </w:rPr>
            </w:pPr>
            <w:r w:rsidRPr="0064194E">
              <w:rPr>
                <w:b/>
                <w:bCs/>
                <w:lang w:bidi="ar-EG"/>
              </w:rPr>
              <w:t>Description</w:t>
            </w:r>
          </w:p>
        </w:tc>
        <w:tc>
          <w:tcPr>
            <w:tcW w:w="1596" w:type="dxa"/>
          </w:tcPr>
          <w:p w:rsidR="00DB4080" w:rsidRPr="0064194E" w:rsidRDefault="00DB4080" w:rsidP="00AD74D5">
            <w:pPr>
              <w:pStyle w:val="ListParagraph"/>
              <w:ind w:left="0"/>
              <w:jc w:val="center"/>
              <w:rPr>
                <w:b/>
                <w:bCs/>
                <w:lang w:bidi="ar-EG"/>
              </w:rPr>
            </w:pPr>
            <w:r w:rsidRPr="0064194E">
              <w:rPr>
                <w:b/>
                <w:bCs/>
                <w:lang w:bidi="ar-EG"/>
              </w:rPr>
              <w:t>2016/2017</w:t>
            </w:r>
          </w:p>
        </w:tc>
        <w:tc>
          <w:tcPr>
            <w:tcW w:w="1596" w:type="dxa"/>
          </w:tcPr>
          <w:p w:rsidR="00DB4080" w:rsidRPr="0064194E" w:rsidRDefault="00DB4080" w:rsidP="00AD74D5">
            <w:pPr>
              <w:pStyle w:val="ListParagraph"/>
              <w:ind w:left="0"/>
              <w:jc w:val="center"/>
              <w:rPr>
                <w:b/>
                <w:bCs/>
                <w:lang w:bidi="ar-EG"/>
              </w:rPr>
            </w:pPr>
            <w:r w:rsidRPr="0064194E">
              <w:rPr>
                <w:b/>
                <w:bCs/>
                <w:lang w:bidi="ar-EG"/>
              </w:rPr>
              <w:t>2017/2018</w:t>
            </w:r>
          </w:p>
        </w:tc>
        <w:tc>
          <w:tcPr>
            <w:tcW w:w="1596" w:type="dxa"/>
          </w:tcPr>
          <w:p w:rsidR="00DB4080" w:rsidRPr="0064194E" w:rsidRDefault="00DB4080" w:rsidP="00AD74D5">
            <w:pPr>
              <w:pStyle w:val="ListParagraph"/>
              <w:ind w:left="0"/>
              <w:jc w:val="center"/>
              <w:rPr>
                <w:b/>
                <w:bCs/>
                <w:lang w:bidi="ar-EG"/>
              </w:rPr>
            </w:pPr>
            <w:r w:rsidRPr="0064194E">
              <w:rPr>
                <w:b/>
                <w:bCs/>
                <w:lang w:bidi="ar-EG"/>
              </w:rPr>
              <w:t>2018/2019</w:t>
            </w:r>
          </w:p>
        </w:tc>
        <w:tc>
          <w:tcPr>
            <w:tcW w:w="1596" w:type="dxa"/>
          </w:tcPr>
          <w:p w:rsidR="00DB4080" w:rsidRPr="0064194E" w:rsidRDefault="00DB4080" w:rsidP="00AD74D5">
            <w:pPr>
              <w:pStyle w:val="ListParagraph"/>
              <w:ind w:left="0"/>
              <w:jc w:val="center"/>
              <w:rPr>
                <w:b/>
                <w:bCs/>
                <w:lang w:bidi="ar-EG"/>
              </w:rPr>
            </w:pPr>
            <w:r w:rsidRPr="0064194E">
              <w:rPr>
                <w:b/>
                <w:bCs/>
                <w:lang w:bidi="ar-EG"/>
              </w:rPr>
              <w:t>First half</w:t>
            </w:r>
          </w:p>
          <w:p w:rsidR="00DB4080" w:rsidRPr="0064194E" w:rsidRDefault="00DB4080" w:rsidP="00AD74D5">
            <w:pPr>
              <w:pStyle w:val="ListParagraph"/>
              <w:ind w:left="0"/>
              <w:jc w:val="center"/>
              <w:rPr>
                <w:b/>
                <w:bCs/>
                <w:lang w:bidi="ar-EG"/>
              </w:rPr>
            </w:pPr>
            <w:r w:rsidRPr="0064194E">
              <w:rPr>
                <w:b/>
                <w:bCs/>
                <w:lang w:bidi="ar-EG"/>
              </w:rPr>
              <w:t>2016/2017</w:t>
            </w:r>
          </w:p>
        </w:tc>
        <w:tc>
          <w:tcPr>
            <w:tcW w:w="1596" w:type="dxa"/>
          </w:tcPr>
          <w:p w:rsidR="00DB4080" w:rsidRPr="0064194E" w:rsidRDefault="00DB4080" w:rsidP="00AD74D5">
            <w:pPr>
              <w:pStyle w:val="ListParagraph"/>
              <w:ind w:left="0"/>
              <w:jc w:val="center"/>
              <w:rPr>
                <w:b/>
                <w:bCs/>
                <w:lang w:bidi="ar-EG"/>
              </w:rPr>
            </w:pPr>
            <w:r w:rsidRPr="0064194E">
              <w:rPr>
                <w:b/>
                <w:bCs/>
                <w:lang w:bidi="ar-EG"/>
              </w:rPr>
              <w:t>First half</w:t>
            </w:r>
          </w:p>
          <w:p w:rsidR="00DB4080" w:rsidRPr="0064194E" w:rsidRDefault="00DB4080" w:rsidP="00AD74D5">
            <w:pPr>
              <w:pStyle w:val="ListParagraph"/>
              <w:ind w:left="0"/>
              <w:jc w:val="center"/>
              <w:rPr>
                <w:b/>
                <w:bCs/>
                <w:lang w:bidi="ar-EG"/>
              </w:rPr>
            </w:pPr>
            <w:r w:rsidRPr="0064194E">
              <w:rPr>
                <w:b/>
                <w:bCs/>
                <w:lang w:bidi="ar-EG"/>
              </w:rPr>
              <w:t>2019/2020</w:t>
            </w:r>
          </w:p>
        </w:tc>
      </w:tr>
      <w:tr w:rsidR="00DB4080" w:rsidTr="00AD74D5">
        <w:tc>
          <w:tcPr>
            <w:tcW w:w="1596" w:type="dxa"/>
          </w:tcPr>
          <w:p w:rsidR="00DB4080" w:rsidRDefault="0092142A" w:rsidP="00AD74D5">
            <w:pPr>
              <w:pStyle w:val="ListParagraph"/>
              <w:ind w:left="0"/>
              <w:jc w:val="center"/>
              <w:rPr>
                <w:lang w:bidi="ar-EG"/>
              </w:rPr>
            </w:pPr>
            <w:r>
              <w:rPr>
                <w:lang w:bidi="ar-EG"/>
              </w:rPr>
              <w:t>Total local sales</w:t>
            </w:r>
          </w:p>
        </w:tc>
        <w:tc>
          <w:tcPr>
            <w:tcW w:w="1596" w:type="dxa"/>
          </w:tcPr>
          <w:p w:rsidR="00DB4080" w:rsidRDefault="0092142A" w:rsidP="0092142A">
            <w:pPr>
              <w:pStyle w:val="ListParagraph"/>
              <w:ind w:left="0"/>
              <w:jc w:val="center"/>
              <w:rPr>
                <w:lang w:bidi="ar-EG"/>
              </w:rPr>
            </w:pPr>
            <w:r>
              <w:rPr>
                <w:lang w:bidi="ar-EG"/>
              </w:rPr>
              <w:t>-</w:t>
            </w:r>
          </w:p>
        </w:tc>
        <w:tc>
          <w:tcPr>
            <w:tcW w:w="1596" w:type="dxa"/>
          </w:tcPr>
          <w:p w:rsidR="00DB4080" w:rsidRDefault="0092142A" w:rsidP="00AD74D5">
            <w:pPr>
              <w:pStyle w:val="ListParagraph"/>
              <w:ind w:left="0"/>
              <w:jc w:val="center"/>
              <w:rPr>
                <w:lang w:bidi="ar-EG"/>
              </w:rPr>
            </w:pPr>
            <w:r>
              <w:rPr>
                <w:lang w:bidi="ar-EG"/>
              </w:rPr>
              <w:t>-</w:t>
            </w:r>
          </w:p>
        </w:tc>
        <w:tc>
          <w:tcPr>
            <w:tcW w:w="1596" w:type="dxa"/>
          </w:tcPr>
          <w:p w:rsidR="00DB4080" w:rsidRDefault="0092142A" w:rsidP="0092142A">
            <w:pPr>
              <w:pStyle w:val="ListParagraph"/>
              <w:ind w:left="0"/>
              <w:rPr>
                <w:lang w:bidi="ar-EG"/>
              </w:rPr>
            </w:pPr>
            <w:r>
              <w:rPr>
                <w:lang w:bidi="ar-EG"/>
              </w:rPr>
              <w:t>-</w:t>
            </w:r>
          </w:p>
        </w:tc>
        <w:tc>
          <w:tcPr>
            <w:tcW w:w="1596" w:type="dxa"/>
          </w:tcPr>
          <w:p w:rsidR="00DB4080" w:rsidRDefault="0092142A" w:rsidP="00AD74D5">
            <w:pPr>
              <w:pStyle w:val="ListParagraph"/>
              <w:ind w:left="0"/>
              <w:jc w:val="center"/>
              <w:rPr>
                <w:lang w:bidi="ar-EG"/>
              </w:rPr>
            </w:pPr>
            <w:r>
              <w:rPr>
                <w:lang w:bidi="ar-EG"/>
              </w:rPr>
              <w:t>-</w:t>
            </w:r>
          </w:p>
        </w:tc>
        <w:tc>
          <w:tcPr>
            <w:tcW w:w="1596" w:type="dxa"/>
          </w:tcPr>
          <w:p w:rsidR="00DB4080" w:rsidRDefault="0092142A" w:rsidP="0092142A">
            <w:pPr>
              <w:pStyle w:val="ListParagraph"/>
              <w:ind w:left="0"/>
              <w:jc w:val="center"/>
              <w:rPr>
                <w:lang w:bidi="ar-EG"/>
              </w:rPr>
            </w:pPr>
            <w:r>
              <w:rPr>
                <w:lang w:bidi="ar-EG"/>
              </w:rPr>
              <w:t>-</w:t>
            </w:r>
          </w:p>
        </w:tc>
      </w:tr>
      <w:tr w:rsidR="00DB4080" w:rsidTr="00AD74D5">
        <w:tc>
          <w:tcPr>
            <w:tcW w:w="1596" w:type="dxa"/>
          </w:tcPr>
          <w:p w:rsidR="00DB4080" w:rsidRDefault="00DB4080" w:rsidP="00AD74D5">
            <w:pPr>
              <w:pStyle w:val="ListParagraph"/>
              <w:ind w:left="0"/>
              <w:jc w:val="center"/>
              <w:rPr>
                <w:lang w:bidi="ar-EG"/>
              </w:rPr>
            </w:pPr>
            <w:r>
              <w:rPr>
                <w:lang w:bidi="ar-EG"/>
              </w:rPr>
              <w:t>Index</w:t>
            </w:r>
          </w:p>
        </w:tc>
        <w:tc>
          <w:tcPr>
            <w:tcW w:w="1596" w:type="dxa"/>
          </w:tcPr>
          <w:p w:rsidR="00DB4080" w:rsidRDefault="00DB4080" w:rsidP="00AD74D5">
            <w:pPr>
              <w:pStyle w:val="ListParagraph"/>
              <w:ind w:left="0"/>
              <w:jc w:val="center"/>
              <w:rPr>
                <w:lang w:bidi="ar-EG"/>
              </w:rPr>
            </w:pPr>
            <w:r>
              <w:rPr>
                <w:lang w:bidi="ar-EG"/>
              </w:rPr>
              <w:t>100%</w:t>
            </w:r>
          </w:p>
        </w:tc>
        <w:tc>
          <w:tcPr>
            <w:tcW w:w="1596" w:type="dxa"/>
          </w:tcPr>
          <w:p w:rsidR="00DB4080" w:rsidRDefault="0092142A" w:rsidP="00AD74D5">
            <w:pPr>
              <w:pStyle w:val="ListParagraph"/>
              <w:ind w:left="0"/>
              <w:jc w:val="center"/>
              <w:rPr>
                <w:lang w:bidi="ar-EG"/>
              </w:rPr>
            </w:pPr>
            <w:r>
              <w:rPr>
                <w:lang w:bidi="ar-EG"/>
              </w:rPr>
              <w:t>88</w:t>
            </w:r>
            <w:r w:rsidR="00DB4080">
              <w:rPr>
                <w:lang w:bidi="ar-EG"/>
              </w:rPr>
              <w:t>%</w:t>
            </w:r>
          </w:p>
        </w:tc>
        <w:tc>
          <w:tcPr>
            <w:tcW w:w="1596" w:type="dxa"/>
          </w:tcPr>
          <w:p w:rsidR="00DB4080" w:rsidRDefault="0092142A" w:rsidP="00AD74D5">
            <w:pPr>
              <w:pStyle w:val="ListParagraph"/>
              <w:ind w:left="0"/>
              <w:jc w:val="center"/>
              <w:rPr>
                <w:lang w:bidi="ar-EG"/>
              </w:rPr>
            </w:pPr>
            <w:r>
              <w:rPr>
                <w:lang w:bidi="ar-EG"/>
              </w:rPr>
              <w:t>54</w:t>
            </w:r>
            <w:r w:rsidR="00DB4080">
              <w:rPr>
                <w:lang w:bidi="ar-EG"/>
              </w:rPr>
              <w:t>%</w:t>
            </w:r>
          </w:p>
        </w:tc>
        <w:tc>
          <w:tcPr>
            <w:tcW w:w="1596" w:type="dxa"/>
          </w:tcPr>
          <w:p w:rsidR="00DB4080" w:rsidRDefault="00DB4080" w:rsidP="00AD74D5">
            <w:pPr>
              <w:pStyle w:val="ListParagraph"/>
              <w:ind w:left="0"/>
              <w:jc w:val="center"/>
              <w:rPr>
                <w:lang w:bidi="ar-EG"/>
              </w:rPr>
            </w:pPr>
            <w:r>
              <w:rPr>
                <w:lang w:bidi="ar-EG"/>
              </w:rPr>
              <w:t>100%</w:t>
            </w:r>
          </w:p>
        </w:tc>
        <w:tc>
          <w:tcPr>
            <w:tcW w:w="1596" w:type="dxa"/>
          </w:tcPr>
          <w:p w:rsidR="00DB4080" w:rsidRDefault="0092142A" w:rsidP="0092142A">
            <w:pPr>
              <w:pStyle w:val="ListParagraph"/>
              <w:ind w:left="0"/>
              <w:jc w:val="center"/>
              <w:rPr>
                <w:lang w:bidi="ar-EG"/>
              </w:rPr>
            </w:pPr>
            <w:r>
              <w:rPr>
                <w:lang w:bidi="ar-EG"/>
              </w:rPr>
              <w:t>1</w:t>
            </w:r>
            <w:r w:rsidR="00DB4080">
              <w:rPr>
                <w:lang w:bidi="ar-EG"/>
              </w:rPr>
              <w:t>6%</w:t>
            </w:r>
          </w:p>
        </w:tc>
      </w:tr>
      <w:tr w:rsidR="00DB4080" w:rsidTr="00AD74D5">
        <w:tc>
          <w:tcPr>
            <w:tcW w:w="1596" w:type="dxa"/>
          </w:tcPr>
          <w:p w:rsidR="00DB4080" w:rsidRDefault="0092142A" w:rsidP="00AD74D5">
            <w:pPr>
              <w:pStyle w:val="ListParagraph"/>
              <w:ind w:left="0"/>
              <w:jc w:val="center"/>
              <w:rPr>
                <w:lang w:bidi="ar-EG"/>
              </w:rPr>
            </w:pPr>
            <w:r>
              <w:rPr>
                <w:lang w:bidi="ar-EG"/>
              </w:rPr>
              <w:t xml:space="preserve">Imports </w:t>
            </w:r>
          </w:p>
        </w:tc>
        <w:tc>
          <w:tcPr>
            <w:tcW w:w="1596" w:type="dxa"/>
          </w:tcPr>
          <w:p w:rsidR="00DB4080" w:rsidRDefault="0092142A" w:rsidP="00D808ED">
            <w:pPr>
              <w:jc w:val="center"/>
              <w:rPr>
                <w:lang w:bidi="ar-EG"/>
              </w:rPr>
            </w:pPr>
            <w:r>
              <w:rPr>
                <w:lang w:bidi="ar-EG"/>
              </w:rPr>
              <w:t>14521</w:t>
            </w:r>
          </w:p>
        </w:tc>
        <w:tc>
          <w:tcPr>
            <w:tcW w:w="1596" w:type="dxa"/>
          </w:tcPr>
          <w:p w:rsidR="00DB4080" w:rsidRDefault="0092142A" w:rsidP="00AD74D5">
            <w:pPr>
              <w:pStyle w:val="ListParagraph"/>
              <w:ind w:left="0"/>
              <w:jc w:val="center"/>
              <w:rPr>
                <w:lang w:bidi="ar-EG"/>
              </w:rPr>
            </w:pPr>
            <w:r>
              <w:rPr>
                <w:lang w:bidi="ar-EG"/>
              </w:rPr>
              <w:t>31378</w:t>
            </w:r>
          </w:p>
        </w:tc>
        <w:tc>
          <w:tcPr>
            <w:tcW w:w="1596" w:type="dxa"/>
          </w:tcPr>
          <w:p w:rsidR="00DB4080" w:rsidRDefault="0092142A" w:rsidP="00AD74D5">
            <w:pPr>
              <w:pStyle w:val="ListParagraph"/>
              <w:ind w:left="0"/>
              <w:jc w:val="center"/>
              <w:rPr>
                <w:lang w:bidi="ar-EG"/>
              </w:rPr>
            </w:pPr>
            <w:r>
              <w:rPr>
                <w:lang w:bidi="ar-EG"/>
              </w:rPr>
              <w:t>75753</w:t>
            </w:r>
          </w:p>
        </w:tc>
        <w:tc>
          <w:tcPr>
            <w:tcW w:w="1596" w:type="dxa"/>
          </w:tcPr>
          <w:p w:rsidR="00DB4080" w:rsidRDefault="0092142A" w:rsidP="00AD74D5">
            <w:pPr>
              <w:pStyle w:val="ListParagraph"/>
              <w:ind w:left="0"/>
              <w:jc w:val="center"/>
              <w:rPr>
                <w:lang w:bidi="ar-EG"/>
              </w:rPr>
            </w:pPr>
            <w:r>
              <w:rPr>
                <w:lang w:bidi="ar-EG"/>
              </w:rPr>
              <w:t>6333</w:t>
            </w:r>
          </w:p>
        </w:tc>
        <w:tc>
          <w:tcPr>
            <w:tcW w:w="1596" w:type="dxa"/>
          </w:tcPr>
          <w:p w:rsidR="00DB4080" w:rsidRDefault="0092142A" w:rsidP="00AD74D5">
            <w:pPr>
              <w:pStyle w:val="ListParagraph"/>
              <w:ind w:left="0"/>
              <w:jc w:val="center"/>
              <w:rPr>
                <w:lang w:bidi="ar-EG"/>
              </w:rPr>
            </w:pPr>
            <w:r>
              <w:rPr>
                <w:lang w:bidi="ar-EG"/>
              </w:rPr>
              <w:t>39335</w:t>
            </w:r>
          </w:p>
        </w:tc>
      </w:tr>
      <w:tr w:rsidR="00DB4080" w:rsidTr="00AD74D5">
        <w:tc>
          <w:tcPr>
            <w:tcW w:w="1596" w:type="dxa"/>
          </w:tcPr>
          <w:p w:rsidR="00DB4080" w:rsidRDefault="0092142A" w:rsidP="00AD74D5">
            <w:pPr>
              <w:pStyle w:val="ListParagraph"/>
              <w:ind w:left="0"/>
              <w:jc w:val="center"/>
              <w:rPr>
                <w:lang w:bidi="ar-EG"/>
              </w:rPr>
            </w:pPr>
            <w:r>
              <w:rPr>
                <w:lang w:bidi="ar-EG"/>
              </w:rPr>
              <w:t>Total market volume</w:t>
            </w:r>
          </w:p>
        </w:tc>
        <w:tc>
          <w:tcPr>
            <w:tcW w:w="1596" w:type="dxa"/>
          </w:tcPr>
          <w:p w:rsidR="00DB4080" w:rsidRDefault="00DB4080" w:rsidP="00AD74D5">
            <w:pPr>
              <w:pStyle w:val="ListParagraph"/>
              <w:ind w:left="0"/>
              <w:jc w:val="center"/>
              <w:rPr>
                <w:lang w:bidi="ar-EG"/>
              </w:rPr>
            </w:pPr>
            <w:r>
              <w:rPr>
                <w:lang w:bidi="ar-EG"/>
              </w:rPr>
              <w:t>-</w:t>
            </w:r>
          </w:p>
        </w:tc>
        <w:tc>
          <w:tcPr>
            <w:tcW w:w="1596" w:type="dxa"/>
          </w:tcPr>
          <w:p w:rsidR="00DB4080" w:rsidRDefault="00DB4080" w:rsidP="00AD74D5">
            <w:pPr>
              <w:pStyle w:val="ListParagraph"/>
              <w:ind w:left="0"/>
              <w:jc w:val="center"/>
              <w:rPr>
                <w:lang w:bidi="ar-EG"/>
              </w:rPr>
            </w:pPr>
            <w:r>
              <w:rPr>
                <w:lang w:bidi="ar-EG"/>
              </w:rPr>
              <w:t>-</w:t>
            </w:r>
          </w:p>
        </w:tc>
        <w:tc>
          <w:tcPr>
            <w:tcW w:w="1596" w:type="dxa"/>
          </w:tcPr>
          <w:p w:rsidR="00DB4080" w:rsidRDefault="00DB4080" w:rsidP="00AD74D5">
            <w:pPr>
              <w:pStyle w:val="ListParagraph"/>
              <w:ind w:left="0"/>
              <w:jc w:val="center"/>
              <w:rPr>
                <w:lang w:bidi="ar-EG"/>
              </w:rPr>
            </w:pPr>
            <w:r>
              <w:rPr>
                <w:lang w:bidi="ar-EG"/>
              </w:rPr>
              <w:t>-</w:t>
            </w:r>
          </w:p>
        </w:tc>
        <w:tc>
          <w:tcPr>
            <w:tcW w:w="1596" w:type="dxa"/>
          </w:tcPr>
          <w:p w:rsidR="00DB4080" w:rsidRDefault="00DB4080" w:rsidP="00AD74D5">
            <w:pPr>
              <w:pStyle w:val="ListParagraph"/>
              <w:ind w:left="0"/>
              <w:jc w:val="center"/>
              <w:rPr>
                <w:lang w:bidi="ar-EG"/>
              </w:rPr>
            </w:pPr>
            <w:r>
              <w:rPr>
                <w:lang w:bidi="ar-EG"/>
              </w:rPr>
              <w:t>-</w:t>
            </w:r>
          </w:p>
        </w:tc>
        <w:tc>
          <w:tcPr>
            <w:tcW w:w="1596" w:type="dxa"/>
          </w:tcPr>
          <w:p w:rsidR="00DB4080" w:rsidRDefault="00DB4080" w:rsidP="00AD74D5">
            <w:pPr>
              <w:pStyle w:val="ListParagraph"/>
              <w:ind w:left="0"/>
              <w:jc w:val="center"/>
              <w:rPr>
                <w:lang w:bidi="ar-EG"/>
              </w:rPr>
            </w:pPr>
            <w:r>
              <w:rPr>
                <w:lang w:bidi="ar-EG"/>
              </w:rPr>
              <w:t>-</w:t>
            </w:r>
          </w:p>
        </w:tc>
      </w:tr>
      <w:tr w:rsidR="00DB4080" w:rsidTr="00AD74D5">
        <w:tc>
          <w:tcPr>
            <w:tcW w:w="1596" w:type="dxa"/>
          </w:tcPr>
          <w:p w:rsidR="00DB4080" w:rsidRDefault="00DB4080" w:rsidP="00AD74D5">
            <w:pPr>
              <w:pStyle w:val="ListParagraph"/>
              <w:ind w:left="0"/>
              <w:jc w:val="center"/>
              <w:rPr>
                <w:lang w:bidi="ar-EG"/>
              </w:rPr>
            </w:pPr>
            <w:r>
              <w:rPr>
                <w:lang w:bidi="ar-EG"/>
              </w:rPr>
              <w:t>Index</w:t>
            </w:r>
          </w:p>
        </w:tc>
        <w:tc>
          <w:tcPr>
            <w:tcW w:w="1596" w:type="dxa"/>
          </w:tcPr>
          <w:p w:rsidR="00DB4080" w:rsidRDefault="00DB4080" w:rsidP="00AD74D5">
            <w:pPr>
              <w:pStyle w:val="ListParagraph"/>
              <w:ind w:left="0"/>
              <w:jc w:val="center"/>
              <w:rPr>
                <w:lang w:bidi="ar-EG"/>
              </w:rPr>
            </w:pPr>
            <w:r>
              <w:rPr>
                <w:lang w:bidi="ar-EG"/>
              </w:rPr>
              <w:t>100%</w:t>
            </w:r>
          </w:p>
        </w:tc>
        <w:tc>
          <w:tcPr>
            <w:tcW w:w="1596" w:type="dxa"/>
          </w:tcPr>
          <w:p w:rsidR="00DB4080" w:rsidRDefault="0092142A" w:rsidP="00AD74D5">
            <w:pPr>
              <w:pStyle w:val="ListParagraph"/>
              <w:ind w:left="0"/>
              <w:jc w:val="center"/>
              <w:rPr>
                <w:lang w:bidi="ar-EG"/>
              </w:rPr>
            </w:pPr>
            <w:r>
              <w:rPr>
                <w:lang w:bidi="ar-EG"/>
              </w:rPr>
              <w:t>101</w:t>
            </w:r>
            <w:r w:rsidR="00DB4080">
              <w:rPr>
                <w:lang w:bidi="ar-EG"/>
              </w:rPr>
              <w:t>%</w:t>
            </w:r>
          </w:p>
        </w:tc>
        <w:tc>
          <w:tcPr>
            <w:tcW w:w="1596" w:type="dxa"/>
          </w:tcPr>
          <w:p w:rsidR="00DB4080" w:rsidRDefault="0092142A" w:rsidP="00AD74D5">
            <w:pPr>
              <w:pStyle w:val="ListParagraph"/>
              <w:ind w:left="0"/>
              <w:jc w:val="center"/>
              <w:rPr>
                <w:lang w:bidi="ar-EG"/>
              </w:rPr>
            </w:pPr>
            <w:r>
              <w:rPr>
                <w:lang w:bidi="ar-EG"/>
              </w:rPr>
              <w:t>101</w:t>
            </w:r>
            <w:r w:rsidR="00DB4080">
              <w:rPr>
                <w:lang w:bidi="ar-EG"/>
              </w:rPr>
              <w:t>%</w:t>
            </w:r>
          </w:p>
        </w:tc>
        <w:tc>
          <w:tcPr>
            <w:tcW w:w="1596" w:type="dxa"/>
          </w:tcPr>
          <w:p w:rsidR="00DB4080" w:rsidRDefault="00DB4080" w:rsidP="00AD74D5">
            <w:pPr>
              <w:pStyle w:val="ListParagraph"/>
              <w:ind w:left="0"/>
              <w:jc w:val="center"/>
              <w:rPr>
                <w:lang w:bidi="ar-EG"/>
              </w:rPr>
            </w:pPr>
            <w:r>
              <w:rPr>
                <w:lang w:bidi="ar-EG"/>
              </w:rPr>
              <w:t>100%</w:t>
            </w:r>
          </w:p>
        </w:tc>
        <w:tc>
          <w:tcPr>
            <w:tcW w:w="1596" w:type="dxa"/>
          </w:tcPr>
          <w:p w:rsidR="00DB4080" w:rsidRDefault="0092142A" w:rsidP="00AD74D5">
            <w:pPr>
              <w:pStyle w:val="ListParagraph"/>
              <w:ind w:left="0"/>
              <w:jc w:val="center"/>
              <w:rPr>
                <w:lang w:bidi="ar-EG"/>
              </w:rPr>
            </w:pPr>
            <w:r>
              <w:rPr>
                <w:lang w:bidi="ar-EG"/>
              </w:rPr>
              <w:t>60</w:t>
            </w:r>
            <w:r w:rsidR="00DB4080">
              <w:rPr>
                <w:lang w:bidi="ar-EG"/>
              </w:rPr>
              <w:t>%</w:t>
            </w:r>
          </w:p>
          <w:p w:rsidR="00DB4080" w:rsidRDefault="00DB4080" w:rsidP="00AD74D5">
            <w:pPr>
              <w:pStyle w:val="ListParagraph"/>
              <w:ind w:left="0"/>
              <w:jc w:val="center"/>
              <w:rPr>
                <w:lang w:bidi="ar-EG"/>
              </w:rPr>
            </w:pPr>
          </w:p>
        </w:tc>
      </w:tr>
      <w:tr w:rsidR="0092142A" w:rsidTr="00AD74D5">
        <w:tc>
          <w:tcPr>
            <w:tcW w:w="1596" w:type="dxa"/>
          </w:tcPr>
          <w:p w:rsidR="0092142A" w:rsidRDefault="0092142A" w:rsidP="00AD74D5">
            <w:pPr>
              <w:pStyle w:val="ListParagraph"/>
              <w:ind w:left="0"/>
              <w:jc w:val="center"/>
              <w:rPr>
                <w:lang w:bidi="ar-EG"/>
              </w:rPr>
            </w:pPr>
            <w:r>
              <w:rPr>
                <w:lang w:bidi="ar-EG"/>
              </w:rPr>
              <w:t>Local sales share</w:t>
            </w:r>
          </w:p>
        </w:tc>
        <w:tc>
          <w:tcPr>
            <w:tcW w:w="1596" w:type="dxa"/>
          </w:tcPr>
          <w:p w:rsidR="0092142A" w:rsidRDefault="0092142A" w:rsidP="00AD74D5">
            <w:pPr>
              <w:pStyle w:val="ListParagraph"/>
              <w:ind w:left="0"/>
              <w:jc w:val="center"/>
              <w:rPr>
                <w:lang w:bidi="ar-EG"/>
              </w:rPr>
            </w:pPr>
            <w:r>
              <w:rPr>
                <w:lang w:bidi="ar-EG"/>
              </w:rPr>
              <w:t>-</w:t>
            </w:r>
          </w:p>
        </w:tc>
        <w:tc>
          <w:tcPr>
            <w:tcW w:w="1596" w:type="dxa"/>
          </w:tcPr>
          <w:p w:rsidR="0092142A" w:rsidRDefault="0092142A" w:rsidP="00AD74D5">
            <w:pPr>
              <w:pStyle w:val="ListParagraph"/>
              <w:ind w:left="0"/>
              <w:jc w:val="center"/>
              <w:rPr>
                <w:lang w:bidi="ar-EG"/>
              </w:rPr>
            </w:pPr>
            <w:r>
              <w:rPr>
                <w:lang w:bidi="ar-EG"/>
              </w:rPr>
              <w:t>-</w:t>
            </w:r>
          </w:p>
        </w:tc>
        <w:tc>
          <w:tcPr>
            <w:tcW w:w="1596" w:type="dxa"/>
          </w:tcPr>
          <w:p w:rsidR="0092142A" w:rsidRDefault="0092142A" w:rsidP="00AD74D5">
            <w:pPr>
              <w:pStyle w:val="ListParagraph"/>
              <w:ind w:left="0"/>
              <w:jc w:val="center"/>
              <w:rPr>
                <w:lang w:bidi="ar-EG"/>
              </w:rPr>
            </w:pPr>
            <w:r>
              <w:rPr>
                <w:lang w:bidi="ar-EG"/>
              </w:rPr>
              <w:t>-</w:t>
            </w:r>
          </w:p>
        </w:tc>
        <w:tc>
          <w:tcPr>
            <w:tcW w:w="1596" w:type="dxa"/>
          </w:tcPr>
          <w:p w:rsidR="0092142A" w:rsidRDefault="0092142A" w:rsidP="00AD74D5">
            <w:pPr>
              <w:pStyle w:val="ListParagraph"/>
              <w:ind w:left="0"/>
              <w:jc w:val="center"/>
              <w:rPr>
                <w:lang w:bidi="ar-EG"/>
              </w:rPr>
            </w:pPr>
            <w:r>
              <w:rPr>
                <w:lang w:bidi="ar-EG"/>
              </w:rPr>
              <w:t>-</w:t>
            </w:r>
          </w:p>
        </w:tc>
        <w:tc>
          <w:tcPr>
            <w:tcW w:w="1596" w:type="dxa"/>
          </w:tcPr>
          <w:p w:rsidR="0092142A" w:rsidRDefault="0092142A" w:rsidP="00AD74D5">
            <w:pPr>
              <w:pStyle w:val="ListParagraph"/>
              <w:ind w:left="0"/>
              <w:jc w:val="center"/>
              <w:rPr>
                <w:lang w:bidi="ar-EG"/>
              </w:rPr>
            </w:pPr>
            <w:r>
              <w:rPr>
                <w:lang w:bidi="ar-EG"/>
              </w:rPr>
              <w:t>-</w:t>
            </w:r>
          </w:p>
        </w:tc>
      </w:tr>
      <w:tr w:rsidR="0092142A" w:rsidTr="00AD74D5">
        <w:tc>
          <w:tcPr>
            <w:tcW w:w="1596" w:type="dxa"/>
          </w:tcPr>
          <w:p w:rsidR="0092142A" w:rsidRDefault="0092142A" w:rsidP="00AD74D5">
            <w:pPr>
              <w:pStyle w:val="ListParagraph"/>
              <w:ind w:left="0"/>
              <w:jc w:val="center"/>
              <w:rPr>
                <w:lang w:bidi="ar-EG"/>
              </w:rPr>
            </w:pPr>
            <w:r>
              <w:rPr>
                <w:lang w:bidi="ar-EG"/>
              </w:rPr>
              <w:t>Index</w:t>
            </w:r>
          </w:p>
        </w:tc>
        <w:tc>
          <w:tcPr>
            <w:tcW w:w="1596" w:type="dxa"/>
          </w:tcPr>
          <w:p w:rsidR="0092142A" w:rsidRDefault="0092142A" w:rsidP="00AD74D5">
            <w:pPr>
              <w:pStyle w:val="ListParagraph"/>
              <w:ind w:left="0"/>
              <w:jc w:val="center"/>
              <w:rPr>
                <w:lang w:bidi="ar-EG"/>
              </w:rPr>
            </w:pPr>
            <w:r>
              <w:rPr>
                <w:lang w:bidi="ar-EG"/>
              </w:rPr>
              <w:t xml:space="preserve"> 100%</w:t>
            </w:r>
          </w:p>
        </w:tc>
        <w:tc>
          <w:tcPr>
            <w:tcW w:w="1596" w:type="dxa"/>
          </w:tcPr>
          <w:p w:rsidR="0092142A" w:rsidRDefault="0092142A" w:rsidP="00AD74D5">
            <w:pPr>
              <w:pStyle w:val="ListParagraph"/>
              <w:ind w:left="0"/>
              <w:jc w:val="center"/>
              <w:rPr>
                <w:lang w:bidi="ar-EG"/>
              </w:rPr>
            </w:pPr>
            <w:r>
              <w:rPr>
                <w:lang w:bidi="ar-EG"/>
              </w:rPr>
              <w:t>88%</w:t>
            </w:r>
          </w:p>
        </w:tc>
        <w:tc>
          <w:tcPr>
            <w:tcW w:w="1596" w:type="dxa"/>
          </w:tcPr>
          <w:p w:rsidR="0092142A" w:rsidRDefault="0092142A" w:rsidP="00AD74D5">
            <w:pPr>
              <w:pStyle w:val="ListParagraph"/>
              <w:ind w:left="0"/>
              <w:jc w:val="center"/>
              <w:rPr>
                <w:lang w:bidi="ar-EG"/>
              </w:rPr>
            </w:pPr>
            <w:r>
              <w:rPr>
                <w:lang w:bidi="ar-EG"/>
              </w:rPr>
              <w:t>53%</w:t>
            </w:r>
          </w:p>
        </w:tc>
        <w:tc>
          <w:tcPr>
            <w:tcW w:w="1596" w:type="dxa"/>
          </w:tcPr>
          <w:p w:rsidR="0092142A" w:rsidRDefault="0092142A" w:rsidP="00AD74D5">
            <w:pPr>
              <w:pStyle w:val="ListParagraph"/>
              <w:ind w:left="0"/>
              <w:jc w:val="center"/>
              <w:rPr>
                <w:lang w:bidi="ar-EG"/>
              </w:rPr>
            </w:pPr>
            <w:r>
              <w:rPr>
                <w:lang w:bidi="ar-EG"/>
              </w:rPr>
              <w:t>100%</w:t>
            </w:r>
          </w:p>
        </w:tc>
        <w:tc>
          <w:tcPr>
            <w:tcW w:w="1596" w:type="dxa"/>
          </w:tcPr>
          <w:p w:rsidR="0092142A" w:rsidRDefault="0092142A" w:rsidP="00AD74D5">
            <w:pPr>
              <w:pStyle w:val="ListParagraph"/>
              <w:ind w:left="0"/>
              <w:jc w:val="center"/>
              <w:rPr>
                <w:lang w:bidi="ar-EG"/>
              </w:rPr>
            </w:pPr>
            <w:r>
              <w:rPr>
                <w:lang w:bidi="ar-EG"/>
              </w:rPr>
              <w:t>27%</w:t>
            </w:r>
          </w:p>
        </w:tc>
      </w:tr>
      <w:tr w:rsidR="0092142A" w:rsidTr="00AD74D5">
        <w:tc>
          <w:tcPr>
            <w:tcW w:w="1596" w:type="dxa"/>
          </w:tcPr>
          <w:p w:rsidR="0092142A" w:rsidRDefault="0092142A" w:rsidP="00AD74D5">
            <w:pPr>
              <w:pStyle w:val="ListParagraph"/>
              <w:ind w:left="0"/>
              <w:jc w:val="center"/>
              <w:rPr>
                <w:lang w:bidi="ar-EG"/>
              </w:rPr>
            </w:pPr>
            <w:r>
              <w:rPr>
                <w:lang w:bidi="ar-EG"/>
              </w:rPr>
              <w:t>Imports share</w:t>
            </w:r>
          </w:p>
        </w:tc>
        <w:tc>
          <w:tcPr>
            <w:tcW w:w="1596" w:type="dxa"/>
          </w:tcPr>
          <w:p w:rsidR="0092142A" w:rsidRDefault="0092142A" w:rsidP="00AD74D5">
            <w:pPr>
              <w:pStyle w:val="ListParagraph"/>
              <w:ind w:left="0"/>
              <w:jc w:val="center"/>
              <w:rPr>
                <w:lang w:bidi="ar-EG"/>
              </w:rPr>
            </w:pPr>
            <w:r>
              <w:rPr>
                <w:lang w:bidi="ar-EG"/>
              </w:rPr>
              <w:t>-</w:t>
            </w:r>
          </w:p>
        </w:tc>
        <w:tc>
          <w:tcPr>
            <w:tcW w:w="1596" w:type="dxa"/>
          </w:tcPr>
          <w:p w:rsidR="0092142A" w:rsidRDefault="0092142A" w:rsidP="00AD74D5">
            <w:pPr>
              <w:pStyle w:val="ListParagraph"/>
              <w:ind w:left="0"/>
              <w:jc w:val="center"/>
              <w:rPr>
                <w:lang w:bidi="ar-EG"/>
              </w:rPr>
            </w:pPr>
            <w:r>
              <w:rPr>
                <w:lang w:bidi="ar-EG"/>
              </w:rPr>
              <w:t>-</w:t>
            </w:r>
          </w:p>
        </w:tc>
        <w:tc>
          <w:tcPr>
            <w:tcW w:w="1596" w:type="dxa"/>
          </w:tcPr>
          <w:p w:rsidR="0092142A" w:rsidRDefault="0092142A" w:rsidP="00AD74D5">
            <w:pPr>
              <w:pStyle w:val="ListParagraph"/>
              <w:ind w:left="0"/>
              <w:jc w:val="center"/>
              <w:rPr>
                <w:lang w:bidi="ar-EG"/>
              </w:rPr>
            </w:pPr>
            <w:r>
              <w:rPr>
                <w:lang w:bidi="ar-EG"/>
              </w:rPr>
              <w:t>-</w:t>
            </w:r>
          </w:p>
        </w:tc>
        <w:tc>
          <w:tcPr>
            <w:tcW w:w="1596" w:type="dxa"/>
          </w:tcPr>
          <w:p w:rsidR="0092142A" w:rsidRDefault="0092142A" w:rsidP="00AD74D5">
            <w:pPr>
              <w:pStyle w:val="ListParagraph"/>
              <w:ind w:left="0"/>
              <w:jc w:val="center"/>
              <w:rPr>
                <w:lang w:bidi="ar-EG"/>
              </w:rPr>
            </w:pPr>
            <w:r>
              <w:rPr>
                <w:lang w:bidi="ar-EG"/>
              </w:rPr>
              <w:t>-</w:t>
            </w:r>
          </w:p>
        </w:tc>
        <w:tc>
          <w:tcPr>
            <w:tcW w:w="1596" w:type="dxa"/>
          </w:tcPr>
          <w:p w:rsidR="0092142A" w:rsidRDefault="0092142A" w:rsidP="00AD74D5">
            <w:pPr>
              <w:pStyle w:val="ListParagraph"/>
              <w:ind w:left="0"/>
              <w:jc w:val="center"/>
              <w:rPr>
                <w:lang w:bidi="ar-EG"/>
              </w:rPr>
            </w:pPr>
            <w:r>
              <w:rPr>
                <w:lang w:bidi="ar-EG"/>
              </w:rPr>
              <w:t>-</w:t>
            </w:r>
          </w:p>
        </w:tc>
      </w:tr>
      <w:tr w:rsidR="0092142A" w:rsidTr="00AD74D5">
        <w:tc>
          <w:tcPr>
            <w:tcW w:w="1596" w:type="dxa"/>
          </w:tcPr>
          <w:p w:rsidR="0092142A" w:rsidRDefault="0092142A" w:rsidP="00AD74D5">
            <w:pPr>
              <w:pStyle w:val="ListParagraph"/>
              <w:ind w:left="0"/>
              <w:jc w:val="center"/>
              <w:rPr>
                <w:lang w:bidi="ar-EG"/>
              </w:rPr>
            </w:pPr>
            <w:r>
              <w:rPr>
                <w:lang w:bidi="ar-EG"/>
              </w:rPr>
              <w:t xml:space="preserve">Index </w:t>
            </w:r>
          </w:p>
        </w:tc>
        <w:tc>
          <w:tcPr>
            <w:tcW w:w="1596" w:type="dxa"/>
          </w:tcPr>
          <w:p w:rsidR="0092142A" w:rsidRDefault="0092142A" w:rsidP="00AD74D5">
            <w:pPr>
              <w:pStyle w:val="ListParagraph"/>
              <w:ind w:left="0"/>
              <w:jc w:val="center"/>
              <w:rPr>
                <w:lang w:bidi="ar-EG"/>
              </w:rPr>
            </w:pPr>
            <w:r>
              <w:rPr>
                <w:lang w:bidi="ar-EG"/>
              </w:rPr>
              <w:t>100%</w:t>
            </w:r>
          </w:p>
        </w:tc>
        <w:tc>
          <w:tcPr>
            <w:tcW w:w="1596" w:type="dxa"/>
          </w:tcPr>
          <w:p w:rsidR="0092142A" w:rsidRDefault="0092142A" w:rsidP="00AD74D5">
            <w:pPr>
              <w:pStyle w:val="ListParagraph"/>
              <w:ind w:left="0"/>
              <w:jc w:val="center"/>
              <w:rPr>
                <w:lang w:bidi="ar-EG"/>
              </w:rPr>
            </w:pPr>
            <w:r>
              <w:rPr>
                <w:lang w:bidi="ar-EG"/>
              </w:rPr>
              <w:t>210%</w:t>
            </w:r>
          </w:p>
        </w:tc>
        <w:tc>
          <w:tcPr>
            <w:tcW w:w="1596" w:type="dxa"/>
          </w:tcPr>
          <w:p w:rsidR="0092142A" w:rsidRDefault="0092142A" w:rsidP="00AD74D5">
            <w:pPr>
              <w:pStyle w:val="ListParagraph"/>
              <w:ind w:left="0"/>
              <w:jc w:val="center"/>
              <w:rPr>
                <w:lang w:bidi="ar-EG"/>
              </w:rPr>
            </w:pPr>
            <w:r>
              <w:rPr>
                <w:lang w:bidi="ar-EG"/>
              </w:rPr>
              <w:t>520%</w:t>
            </w:r>
          </w:p>
        </w:tc>
        <w:tc>
          <w:tcPr>
            <w:tcW w:w="1596" w:type="dxa"/>
          </w:tcPr>
          <w:p w:rsidR="0092142A" w:rsidRDefault="0092142A" w:rsidP="00AD74D5">
            <w:pPr>
              <w:pStyle w:val="ListParagraph"/>
              <w:ind w:left="0"/>
              <w:jc w:val="center"/>
              <w:rPr>
                <w:lang w:bidi="ar-EG"/>
              </w:rPr>
            </w:pPr>
            <w:r>
              <w:rPr>
                <w:lang w:bidi="ar-EG"/>
              </w:rPr>
              <w:t>100%</w:t>
            </w:r>
          </w:p>
        </w:tc>
        <w:tc>
          <w:tcPr>
            <w:tcW w:w="1596" w:type="dxa"/>
          </w:tcPr>
          <w:p w:rsidR="0092142A" w:rsidRDefault="0092142A" w:rsidP="00AD74D5">
            <w:pPr>
              <w:pStyle w:val="ListParagraph"/>
              <w:ind w:left="0"/>
              <w:jc w:val="center"/>
              <w:rPr>
                <w:lang w:bidi="ar-EG"/>
              </w:rPr>
            </w:pPr>
            <w:r>
              <w:rPr>
                <w:lang w:bidi="ar-EG"/>
              </w:rPr>
              <w:t>1071%</w:t>
            </w:r>
          </w:p>
        </w:tc>
      </w:tr>
    </w:tbl>
    <w:p w:rsidR="007C759F" w:rsidRDefault="00A852C3" w:rsidP="00772D51">
      <w:pPr>
        <w:jc w:val="both"/>
      </w:pPr>
      <w:r>
        <w:t xml:space="preserve"> </w:t>
      </w:r>
      <w:r w:rsidR="00910ACB">
        <w:t xml:space="preserve">Comparison: basic year </w:t>
      </w:r>
    </w:p>
    <w:p w:rsidR="00910ACB" w:rsidRDefault="00C72EC1" w:rsidP="00772D51">
      <w:pPr>
        <w:jc w:val="both"/>
      </w:pPr>
      <w:r>
        <w:t>4-2-1-1 T</w:t>
      </w:r>
      <w:r w:rsidR="00910ACB">
        <w:t xml:space="preserve">he previous table shows the drop of local industry sales substantially and acutely at percentages of 12% and 46% in the financial years 2017/2018 and 2018/2019 respectively in comparison </w:t>
      </w:r>
      <w:r w:rsidR="00910ACB">
        <w:lastRenderedPageBreak/>
        <w:t xml:space="preserve">to the year 2016/2017. This acute drop continued during the first half of 2019/2020 in comparison to the first half of 2016/2017 to reach 84%. </w:t>
      </w:r>
    </w:p>
    <w:p w:rsidR="006C5763" w:rsidRDefault="00C72EC1" w:rsidP="007C6FE4">
      <w:pPr>
        <w:jc w:val="both"/>
      </w:pPr>
      <w:r>
        <w:t>4-2-1-2 T</w:t>
      </w:r>
      <w:r w:rsidR="00910ACB">
        <w:t>he previous table shows also the slight increase of th</w:t>
      </w:r>
      <w:r w:rsidR="006661A5">
        <w:t>e volume of the market</w:t>
      </w:r>
      <w:r w:rsidR="002C56DF">
        <w:t xml:space="preserve"> at</w:t>
      </w:r>
      <w:r w:rsidR="00910ACB">
        <w:t xml:space="preserve"> 1% over 2017/2018 and 2018/2019 in comparison to </w:t>
      </w:r>
      <w:r w:rsidR="006C5763">
        <w:t xml:space="preserve">2016/2017 to reach 40% over the first half of 2019/2020 in comparison to </w:t>
      </w:r>
      <w:r w:rsidR="007C6FE4">
        <w:t xml:space="preserve">the </w:t>
      </w:r>
      <w:r w:rsidR="006C5763">
        <w:t>similar period of 2016/2017.</w:t>
      </w:r>
    </w:p>
    <w:p w:rsidR="006C5763" w:rsidRDefault="007C6FE4" w:rsidP="0065574D">
      <w:pPr>
        <w:jc w:val="both"/>
      </w:pPr>
      <w:r>
        <w:t>4-2-1-3 T</w:t>
      </w:r>
      <w:r w:rsidR="006C5763">
        <w:t>he previous table shows also that despite the slight increase of the volume of the local mar</w:t>
      </w:r>
      <w:r w:rsidR="00521123">
        <w:t>ket over 2017/2018-2018/2019,</w:t>
      </w:r>
      <w:r w:rsidR="006C5763">
        <w:t xml:space="preserve"> the market share o</w:t>
      </w:r>
      <w:r w:rsidR="0065574D">
        <w:t>f sales dropped at 12% and 47% in</w:t>
      </w:r>
      <w:r w:rsidR="006C5763">
        <w:t xml:space="preserve"> </w:t>
      </w:r>
      <w:r w:rsidR="00A87D2F">
        <w:t xml:space="preserve">the interest of </w:t>
      </w:r>
      <w:r w:rsidR="006C5763">
        <w:t>the market share of imports that increased at 110% and 420% over the same years.</w:t>
      </w:r>
    </w:p>
    <w:p w:rsidR="00B82704" w:rsidRDefault="007C6FE4" w:rsidP="006C5763">
      <w:pPr>
        <w:jc w:val="both"/>
      </w:pPr>
      <w:r>
        <w:t>4-2-1-4 I</w:t>
      </w:r>
      <w:r w:rsidR="006C5763">
        <w:t>n the first half of 2019/2020, the market share of the local industry sales dropped acutely at 73% in compari</w:t>
      </w:r>
      <w:r>
        <w:t>son to the similar period of</w:t>
      </w:r>
      <w:r w:rsidR="006C5763">
        <w:t xml:space="preserve"> 2016/2017 while the market share of imports increased acutely at 971% despite the contraction of the volume of the local market at the same period</w:t>
      </w:r>
      <w:r w:rsidR="00B82704">
        <w:t xml:space="preserve">, an aspect that indicates that imports have overwhelmed big part of the share of local sales in the market. </w:t>
      </w:r>
    </w:p>
    <w:p w:rsidR="006C5763" w:rsidRPr="00537FD8" w:rsidRDefault="00B82704" w:rsidP="006C5763">
      <w:pPr>
        <w:jc w:val="both"/>
        <w:rPr>
          <w:b/>
          <w:bCs/>
        </w:rPr>
      </w:pPr>
      <w:r w:rsidRPr="00537FD8">
        <w:rPr>
          <w:b/>
          <w:bCs/>
        </w:rPr>
        <w:t>Finding:</w:t>
      </w:r>
      <w:r w:rsidR="006C5763" w:rsidRPr="00537FD8">
        <w:rPr>
          <w:b/>
          <w:bCs/>
        </w:rPr>
        <w:t xml:space="preserve"> </w:t>
      </w:r>
    </w:p>
    <w:p w:rsidR="00B82704" w:rsidRDefault="007C6FE4" w:rsidP="00132C72">
      <w:pPr>
        <w:jc w:val="both"/>
      </w:pPr>
      <w:r>
        <w:t>4-2-1-5 T</w:t>
      </w:r>
      <w:r w:rsidR="00B82704">
        <w:t xml:space="preserve">he Investigating Authority found that local industry sales and their market share have substantially dropped </w:t>
      </w:r>
      <w:r>
        <w:t xml:space="preserve">in synchronization </w:t>
      </w:r>
      <w:r w:rsidR="00132C72">
        <w:t>with</w:t>
      </w:r>
      <w:r w:rsidR="00537FD8">
        <w:t xml:space="preserve"> an increase of the volume of imports and their market share. </w:t>
      </w:r>
    </w:p>
    <w:p w:rsidR="00910ACB" w:rsidRPr="007C6FE4" w:rsidRDefault="00537FD8" w:rsidP="00537FD8">
      <w:pPr>
        <w:pStyle w:val="ListParagraph"/>
        <w:numPr>
          <w:ilvl w:val="1"/>
          <w:numId w:val="4"/>
        </w:numPr>
        <w:jc w:val="both"/>
        <w:rPr>
          <w:b/>
          <w:bCs/>
        </w:rPr>
      </w:pPr>
      <w:r w:rsidRPr="007C6FE4">
        <w:rPr>
          <w:b/>
          <w:bCs/>
        </w:rPr>
        <w:t xml:space="preserve">Production and capacity utilization </w:t>
      </w:r>
    </w:p>
    <w:p w:rsidR="00537FD8" w:rsidRPr="00537FD8" w:rsidRDefault="00537FD8" w:rsidP="00537FD8">
      <w:pPr>
        <w:jc w:val="center"/>
        <w:rPr>
          <w:b/>
          <w:bCs/>
        </w:rPr>
      </w:pPr>
      <w:r w:rsidRPr="00537FD8">
        <w:rPr>
          <w:b/>
          <w:bCs/>
        </w:rPr>
        <w:t>Table (4-2)</w:t>
      </w:r>
    </w:p>
    <w:p w:rsidR="00537FD8" w:rsidRPr="00537FD8" w:rsidRDefault="00537FD8" w:rsidP="00537FD8">
      <w:pPr>
        <w:jc w:val="center"/>
        <w:rPr>
          <w:b/>
          <w:bCs/>
        </w:rPr>
      </w:pPr>
      <w:r w:rsidRPr="00537FD8">
        <w:rPr>
          <w:b/>
          <w:bCs/>
        </w:rPr>
        <w:t>Production and capacity utilization</w:t>
      </w:r>
    </w:p>
    <w:p w:rsidR="00537FD8" w:rsidRPr="00537FD8" w:rsidRDefault="00537FD8" w:rsidP="00537FD8">
      <w:pPr>
        <w:jc w:val="center"/>
        <w:rPr>
          <w:b/>
          <w:bCs/>
        </w:rPr>
      </w:pPr>
      <w:r>
        <w:rPr>
          <w:b/>
          <w:bCs/>
        </w:rPr>
        <w:t xml:space="preserve">                                                                                                                                                                    </w:t>
      </w:r>
      <w:r w:rsidRPr="00537FD8">
        <w:rPr>
          <w:b/>
          <w:bCs/>
        </w:rPr>
        <w:t>Unite: ton</w:t>
      </w:r>
    </w:p>
    <w:tbl>
      <w:tblPr>
        <w:tblStyle w:val="TableGrid"/>
        <w:tblW w:w="0" w:type="auto"/>
        <w:tblInd w:w="732" w:type="dxa"/>
        <w:tblLook w:val="04A0" w:firstRow="1" w:lastRow="0" w:firstColumn="1" w:lastColumn="0" w:noHBand="0" w:noVBand="1"/>
      </w:tblPr>
      <w:tblGrid>
        <w:gridCol w:w="1489"/>
        <w:gridCol w:w="1471"/>
        <w:gridCol w:w="1471"/>
        <w:gridCol w:w="1471"/>
        <w:gridCol w:w="1471"/>
        <w:gridCol w:w="1471"/>
      </w:tblGrid>
      <w:tr w:rsidR="00537FD8" w:rsidRPr="0064194E" w:rsidTr="00AD74D5">
        <w:tc>
          <w:tcPr>
            <w:tcW w:w="1596" w:type="dxa"/>
          </w:tcPr>
          <w:p w:rsidR="00537FD8" w:rsidRPr="0064194E" w:rsidRDefault="00537FD8" w:rsidP="00AD74D5">
            <w:pPr>
              <w:pStyle w:val="ListParagraph"/>
              <w:ind w:left="0"/>
              <w:jc w:val="center"/>
              <w:rPr>
                <w:b/>
                <w:bCs/>
                <w:lang w:bidi="ar-EG"/>
              </w:rPr>
            </w:pPr>
            <w:r w:rsidRPr="0064194E">
              <w:rPr>
                <w:b/>
                <w:bCs/>
                <w:lang w:bidi="ar-EG"/>
              </w:rPr>
              <w:t>Description</w:t>
            </w:r>
          </w:p>
        </w:tc>
        <w:tc>
          <w:tcPr>
            <w:tcW w:w="1596" w:type="dxa"/>
          </w:tcPr>
          <w:p w:rsidR="00537FD8" w:rsidRPr="0064194E" w:rsidRDefault="00537FD8" w:rsidP="00AD74D5">
            <w:pPr>
              <w:pStyle w:val="ListParagraph"/>
              <w:ind w:left="0"/>
              <w:jc w:val="center"/>
              <w:rPr>
                <w:b/>
                <w:bCs/>
                <w:lang w:bidi="ar-EG"/>
              </w:rPr>
            </w:pPr>
            <w:r w:rsidRPr="0064194E">
              <w:rPr>
                <w:b/>
                <w:bCs/>
                <w:lang w:bidi="ar-EG"/>
              </w:rPr>
              <w:t>2016/2017</w:t>
            </w:r>
          </w:p>
        </w:tc>
        <w:tc>
          <w:tcPr>
            <w:tcW w:w="1596" w:type="dxa"/>
          </w:tcPr>
          <w:p w:rsidR="00537FD8" w:rsidRPr="0064194E" w:rsidRDefault="00537FD8" w:rsidP="00AD74D5">
            <w:pPr>
              <w:pStyle w:val="ListParagraph"/>
              <w:ind w:left="0"/>
              <w:jc w:val="center"/>
              <w:rPr>
                <w:b/>
                <w:bCs/>
                <w:lang w:bidi="ar-EG"/>
              </w:rPr>
            </w:pPr>
            <w:r w:rsidRPr="0064194E">
              <w:rPr>
                <w:b/>
                <w:bCs/>
                <w:lang w:bidi="ar-EG"/>
              </w:rPr>
              <w:t>2017/2018</w:t>
            </w:r>
          </w:p>
        </w:tc>
        <w:tc>
          <w:tcPr>
            <w:tcW w:w="1596" w:type="dxa"/>
          </w:tcPr>
          <w:p w:rsidR="00537FD8" w:rsidRPr="0064194E" w:rsidRDefault="00537FD8" w:rsidP="00AD74D5">
            <w:pPr>
              <w:pStyle w:val="ListParagraph"/>
              <w:ind w:left="0"/>
              <w:jc w:val="center"/>
              <w:rPr>
                <w:b/>
                <w:bCs/>
                <w:lang w:bidi="ar-EG"/>
              </w:rPr>
            </w:pPr>
            <w:r w:rsidRPr="0064194E">
              <w:rPr>
                <w:b/>
                <w:bCs/>
                <w:lang w:bidi="ar-EG"/>
              </w:rPr>
              <w:t>2018/2019</w:t>
            </w:r>
          </w:p>
        </w:tc>
        <w:tc>
          <w:tcPr>
            <w:tcW w:w="1596" w:type="dxa"/>
          </w:tcPr>
          <w:p w:rsidR="00537FD8" w:rsidRPr="0064194E" w:rsidRDefault="00537FD8" w:rsidP="00AD74D5">
            <w:pPr>
              <w:pStyle w:val="ListParagraph"/>
              <w:ind w:left="0"/>
              <w:jc w:val="center"/>
              <w:rPr>
                <w:b/>
                <w:bCs/>
                <w:lang w:bidi="ar-EG"/>
              </w:rPr>
            </w:pPr>
            <w:r w:rsidRPr="0064194E">
              <w:rPr>
                <w:b/>
                <w:bCs/>
                <w:lang w:bidi="ar-EG"/>
              </w:rPr>
              <w:t>First half</w:t>
            </w:r>
          </w:p>
          <w:p w:rsidR="00537FD8" w:rsidRPr="0064194E" w:rsidRDefault="00537FD8" w:rsidP="00AD74D5">
            <w:pPr>
              <w:pStyle w:val="ListParagraph"/>
              <w:ind w:left="0"/>
              <w:jc w:val="center"/>
              <w:rPr>
                <w:b/>
                <w:bCs/>
                <w:lang w:bidi="ar-EG"/>
              </w:rPr>
            </w:pPr>
            <w:r w:rsidRPr="0064194E">
              <w:rPr>
                <w:b/>
                <w:bCs/>
                <w:lang w:bidi="ar-EG"/>
              </w:rPr>
              <w:t>2016/2017</w:t>
            </w:r>
          </w:p>
        </w:tc>
        <w:tc>
          <w:tcPr>
            <w:tcW w:w="1596" w:type="dxa"/>
          </w:tcPr>
          <w:p w:rsidR="00537FD8" w:rsidRPr="0064194E" w:rsidRDefault="00537FD8" w:rsidP="00AD74D5">
            <w:pPr>
              <w:pStyle w:val="ListParagraph"/>
              <w:ind w:left="0"/>
              <w:jc w:val="center"/>
              <w:rPr>
                <w:b/>
                <w:bCs/>
                <w:lang w:bidi="ar-EG"/>
              </w:rPr>
            </w:pPr>
            <w:r w:rsidRPr="0064194E">
              <w:rPr>
                <w:b/>
                <w:bCs/>
                <w:lang w:bidi="ar-EG"/>
              </w:rPr>
              <w:t>First half</w:t>
            </w:r>
          </w:p>
          <w:p w:rsidR="00537FD8" w:rsidRPr="0064194E" w:rsidRDefault="00537FD8" w:rsidP="00AD74D5">
            <w:pPr>
              <w:pStyle w:val="ListParagraph"/>
              <w:ind w:left="0"/>
              <w:jc w:val="center"/>
              <w:rPr>
                <w:b/>
                <w:bCs/>
                <w:lang w:bidi="ar-EG"/>
              </w:rPr>
            </w:pPr>
            <w:r w:rsidRPr="0064194E">
              <w:rPr>
                <w:b/>
                <w:bCs/>
                <w:lang w:bidi="ar-EG"/>
              </w:rPr>
              <w:t>2019/2020</w:t>
            </w:r>
          </w:p>
        </w:tc>
      </w:tr>
      <w:tr w:rsidR="00537FD8" w:rsidTr="00AD74D5">
        <w:tc>
          <w:tcPr>
            <w:tcW w:w="1596" w:type="dxa"/>
          </w:tcPr>
          <w:p w:rsidR="00537FD8" w:rsidRDefault="00537FD8" w:rsidP="00AD74D5">
            <w:pPr>
              <w:pStyle w:val="ListParagraph"/>
              <w:ind w:left="0"/>
              <w:jc w:val="center"/>
              <w:rPr>
                <w:lang w:bidi="ar-EG"/>
              </w:rPr>
            </w:pPr>
            <w:r>
              <w:rPr>
                <w:lang w:bidi="ar-EG"/>
              </w:rPr>
              <w:t>Amount of actual production</w:t>
            </w:r>
          </w:p>
        </w:tc>
        <w:tc>
          <w:tcPr>
            <w:tcW w:w="1596" w:type="dxa"/>
          </w:tcPr>
          <w:p w:rsidR="00537FD8" w:rsidRDefault="00537FD8" w:rsidP="00AD74D5">
            <w:pPr>
              <w:pStyle w:val="ListParagraph"/>
              <w:ind w:left="0"/>
              <w:jc w:val="center"/>
              <w:rPr>
                <w:lang w:bidi="ar-EG"/>
              </w:rPr>
            </w:pPr>
            <w:r>
              <w:rPr>
                <w:lang w:bidi="ar-EG"/>
              </w:rPr>
              <w:t>-</w:t>
            </w:r>
          </w:p>
        </w:tc>
        <w:tc>
          <w:tcPr>
            <w:tcW w:w="1596" w:type="dxa"/>
          </w:tcPr>
          <w:p w:rsidR="00537FD8" w:rsidRDefault="00537FD8" w:rsidP="00AD74D5">
            <w:pPr>
              <w:pStyle w:val="ListParagraph"/>
              <w:ind w:left="0"/>
              <w:jc w:val="center"/>
              <w:rPr>
                <w:lang w:bidi="ar-EG"/>
              </w:rPr>
            </w:pPr>
            <w:r>
              <w:rPr>
                <w:lang w:bidi="ar-EG"/>
              </w:rPr>
              <w:t>-</w:t>
            </w:r>
          </w:p>
        </w:tc>
        <w:tc>
          <w:tcPr>
            <w:tcW w:w="1596" w:type="dxa"/>
          </w:tcPr>
          <w:p w:rsidR="00537FD8" w:rsidRDefault="00537FD8" w:rsidP="00AD74D5">
            <w:pPr>
              <w:pStyle w:val="ListParagraph"/>
              <w:ind w:left="0"/>
              <w:jc w:val="center"/>
              <w:rPr>
                <w:lang w:bidi="ar-EG"/>
              </w:rPr>
            </w:pPr>
            <w:r>
              <w:rPr>
                <w:lang w:bidi="ar-EG"/>
              </w:rPr>
              <w:t>-</w:t>
            </w:r>
          </w:p>
        </w:tc>
        <w:tc>
          <w:tcPr>
            <w:tcW w:w="1596" w:type="dxa"/>
          </w:tcPr>
          <w:p w:rsidR="00537FD8" w:rsidRDefault="00537FD8" w:rsidP="00AD74D5">
            <w:pPr>
              <w:pStyle w:val="ListParagraph"/>
              <w:ind w:left="0"/>
              <w:jc w:val="center"/>
              <w:rPr>
                <w:lang w:bidi="ar-EG"/>
              </w:rPr>
            </w:pPr>
            <w:r>
              <w:rPr>
                <w:lang w:bidi="ar-EG"/>
              </w:rPr>
              <w:t>-</w:t>
            </w:r>
          </w:p>
        </w:tc>
        <w:tc>
          <w:tcPr>
            <w:tcW w:w="1596" w:type="dxa"/>
          </w:tcPr>
          <w:p w:rsidR="00537FD8" w:rsidRDefault="00537FD8" w:rsidP="00AD74D5">
            <w:pPr>
              <w:pStyle w:val="ListParagraph"/>
              <w:ind w:left="0"/>
              <w:jc w:val="center"/>
              <w:rPr>
                <w:lang w:bidi="ar-EG"/>
              </w:rPr>
            </w:pPr>
            <w:r>
              <w:rPr>
                <w:lang w:bidi="ar-EG"/>
              </w:rPr>
              <w:t>-</w:t>
            </w:r>
          </w:p>
        </w:tc>
      </w:tr>
      <w:tr w:rsidR="00537FD8" w:rsidTr="00AD74D5">
        <w:tc>
          <w:tcPr>
            <w:tcW w:w="1596" w:type="dxa"/>
          </w:tcPr>
          <w:p w:rsidR="00537FD8" w:rsidRDefault="00537FD8" w:rsidP="00AD74D5">
            <w:pPr>
              <w:pStyle w:val="ListParagraph"/>
              <w:ind w:left="0"/>
              <w:jc w:val="center"/>
              <w:rPr>
                <w:lang w:bidi="ar-EG"/>
              </w:rPr>
            </w:pPr>
            <w:r>
              <w:rPr>
                <w:lang w:bidi="ar-EG"/>
              </w:rPr>
              <w:t>Index</w:t>
            </w:r>
          </w:p>
        </w:tc>
        <w:tc>
          <w:tcPr>
            <w:tcW w:w="1596" w:type="dxa"/>
          </w:tcPr>
          <w:p w:rsidR="00537FD8" w:rsidRDefault="00537FD8" w:rsidP="00AD74D5">
            <w:pPr>
              <w:pStyle w:val="ListParagraph"/>
              <w:ind w:left="0"/>
              <w:jc w:val="center"/>
              <w:rPr>
                <w:lang w:bidi="ar-EG"/>
              </w:rPr>
            </w:pPr>
            <w:r>
              <w:rPr>
                <w:lang w:bidi="ar-EG"/>
              </w:rPr>
              <w:t>100%</w:t>
            </w:r>
          </w:p>
        </w:tc>
        <w:tc>
          <w:tcPr>
            <w:tcW w:w="1596" w:type="dxa"/>
          </w:tcPr>
          <w:p w:rsidR="00537FD8" w:rsidRDefault="00537FD8" w:rsidP="00AD74D5">
            <w:pPr>
              <w:pStyle w:val="ListParagraph"/>
              <w:ind w:left="0"/>
              <w:jc w:val="center"/>
              <w:rPr>
                <w:lang w:bidi="ar-EG"/>
              </w:rPr>
            </w:pPr>
            <w:r>
              <w:rPr>
                <w:lang w:bidi="ar-EG"/>
              </w:rPr>
              <w:t>97%</w:t>
            </w:r>
          </w:p>
        </w:tc>
        <w:tc>
          <w:tcPr>
            <w:tcW w:w="1596" w:type="dxa"/>
          </w:tcPr>
          <w:p w:rsidR="00537FD8" w:rsidRDefault="00537FD8" w:rsidP="00AD74D5">
            <w:pPr>
              <w:pStyle w:val="ListParagraph"/>
              <w:ind w:left="0"/>
              <w:jc w:val="center"/>
              <w:rPr>
                <w:lang w:bidi="ar-EG"/>
              </w:rPr>
            </w:pPr>
            <w:r>
              <w:rPr>
                <w:lang w:bidi="ar-EG"/>
              </w:rPr>
              <w:t>96%</w:t>
            </w:r>
          </w:p>
        </w:tc>
        <w:tc>
          <w:tcPr>
            <w:tcW w:w="1596" w:type="dxa"/>
          </w:tcPr>
          <w:p w:rsidR="00537FD8" w:rsidRDefault="00537FD8" w:rsidP="00AD74D5">
            <w:pPr>
              <w:pStyle w:val="ListParagraph"/>
              <w:ind w:left="0"/>
              <w:jc w:val="center"/>
              <w:rPr>
                <w:lang w:bidi="ar-EG"/>
              </w:rPr>
            </w:pPr>
            <w:r>
              <w:rPr>
                <w:lang w:bidi="ar-EG"/>
              </w:rPr>
              <w:t>100%</w:t>
            </w:r>
          </w:p>
        </w:tc>
        <w:tc>
          <w:tcPr>
            <w:tcW w:w="1596" w:type="dxa"/>
          </w:tcPr>
          <w:p w:rsidR="00537FD8" w:rsidRDefault="00537FD8" w:rsidP="00AD74D5">
            <w:pPr>
              <w:pStyle w:val="ListParagraph"/>
              <w:ind w:left="0"/>
              <w:jc w:val="center"/>
              <w:rPr>
                <w:lang w:bidi="ar-EG"/>
              </w:rPr>
            </w:pPr>
            <w:r>
              <w:rPr>
                <w:lang w:bidi="ar-EG"/>
              </w:rPr>
              <w:t>91%</w:t>
            </w:r>
          </w:p>
        </w:tc>
      </w:tr>
      <w:tr w:rsidR="00537FD8" w:rsidTr="00AD74D5">
        <w:tc>
          <w:tcPr>
            <w:tcW w:w="1596" w:type="dxa"/>
          </w:tcPr>
          <w:p w:rsidR="00537FD8" w:rsidRDefault="00537FD8" w:rsidP="00AD74D5">
            <w:pPr>
              <w:pStyle w:val="ListParagraph"/>
              <w:ind w:left="0"/>
              <w:jc w:val="center"/>
              <w:rPr>
                <w:lang w:bidi="ar-EG"/>
              </w:rPr>
            </w:pPr>
            <w:r>
              <w:rPr>
                <w:lang w:bidi="ar-EG"/>
              </w:rPr>
              <w:t>Available capacity</w:t>
            </w:r>
          </w:p>
        </w:tc>
        <w:tc>
          <w:tcPr>
            <w:tcW w:w="1596" w:type="dxa"/>
          </w:tcPr>
          <w:p w:rsidR="00537FD8" w:rsidRDefault="00537FD8" w:rsidP="00AD74D5">
            <w:pPr>
              <w:pStyle w:val="ListParagraph"/>
              <w:numPr>
                <w:ilvl w:val="0"/>
                <w:numId w:val="7"/>
              </w:numPr>
              <w:jc w:val="center"/>
              <w:rPr>
                <w:lang w:bidi="ar-EG"/>
              </w:rPr>
            </w:pPr>
          </w:p>
        </w:tc>
        <w:tc>
          <w:tcPr>
            <w:tcW w:w="1596" w:type="dxa"/>
          </w:tcPr>
          <w:p w:rsidR="00537FD8" w:rsidRDefault="00537FD8" w:rsidP="00AD74D5">
            <w:pPr>
              <w:pStyle w:val="ListParagraph"/>
              <w:ind w:left="0"/>
              <w:jc w:val="center"/>
              <w:rPr>
                <w:lang w:bidi="ar-EG"/>
              </w:rPr>
            </w:pPr>
            <w:r>
              <w:rPr>
                <w:lang w:bidi="ar-EG"/>
              </w:rPr>
              <w:t>-</w:t>
            </w:r>
          </w:p>
        </w:tc>
        <w:tc>
          <w:tcPr>
            <w:tcW w:w="1596" w:type="dxa"/>
          </w:tcPr>
          <w:p w:rsidR="00537FD8" w:rsidRDefault="00537FD8" w:rsidP="00AD74D5">
            <w:pPr>
              <w:pStyle w:val="ListParagraph"/>
              <w:ind w:left="0"/>
              <w:jc w:val="center"/>
              <w:rPr>
                <w:lang w:bidi="ar-EG"/>
              </w:rPr>
            </w:pPr>
            <w:r>
              <w:rPr>
                <w:lang w:bidi="ar-EG"/>
              </w:rPr>
              <w:t>-</w:t>
            </w:r>
          </w:p>
        </w:tc>
        <w:tc>
          <w:tcPr>
            <w:tcW w:w="1596" w:type="dxa"/>
          </w:tcPr>
          <w:p w:rsidR="00537FD8" w:rsidRDefault="00537FD8" w:rsidP="00AD74D5">
            <w:pPr>
              <w:pStyle w:val="ListParagraph"/>
              <w:ind w:left="0"/>
              <w:jc w:val="center"/>
              <w:rPr>
                <w:lang w:bidi="ar-EG"/>
              </w:rPr>
            </w:pPr>
            <w:r>
              <w:rPr>
                <w:lang w:bidi="ar-EG"/>
              </w:rPr>
              <w:t>-</w:t>
            </w:r>
          </w:p>
        </w:tc>
        <w:tc>
          <w:tcPr>
            <w:tcW w:w="1596" w:type="dxa"/>
          </w:tcPr>
          <w:p w:rsidR="00537FD8" w:rsidRDefault="00537FD8" w:rsidP="00AD74D5">
            <w:pPr>
              <w:pStyle w:val="ListParagraph"/>
              <w:ind w:left="0"/>
              <w:jc w:val="center"/>
              <w:rPr>
                <w:lang w:bidi="ar-EG"/>
              </w:rPr>
            </w:pPr>
            <w:r>
              <w:rPr>
                <w:lang w:bidi="ar-EG"/>
              </w:rPr>
              <w:t>-</w:t>
            </w:r>
          </w:p>
        </w:tc>
      </w:tr>
      <w:tr w:rsidR="00537FD8" w:rsidTr="00AD74D5">
        <w:tc>
          <w:tcPr>
            <w:tcW w:w="1596" w:type="dxa"/>
          </w:tcPr>
          <w:p w:rsidR="00537FD8" w:rsidRDefault="00537FD8" w:rsidP="00537FD8">
            <w:pPr>
              <w:pStyle w:val="ListParagraph"/>
              <w:ind w:left="0"/>
              <w:jc w:val="center"/>
              <w:rPr>
                <w:lang w:bidi="ar-EG"/>
              </w:rPr>
            </w:pPr>
            <w:r>
              <w:rPr>
                <w:lang w:bidi="ar-EG"/>
              </w:rPr>
              <w:t xml:space="preserve">Index </w:t>
            </w:r>
          </w:p>
        </w:tc>
        <w:tc>
          <w:tcPr>
            <w:tcW w:w="1596" w:type="dxa"/>
          </w:tcPr>
          <w:p w:rsidR="00537FD8" w:rsidRDefault="00537FD8" w:rsidP="00AD74D5">
            <w:pPr>
              <w:pStyle w:val="ListParagraph"/>
              <w:ind w:left="0"/>
              <w:jc w:val="center"/>
              <w:rPr>
                <w:lang w:bidi="ar-EG"/>
              </w:rPr>
            </w:pPr>
            <w:r>
              <w:rPr>
                <w:lang w:bidi="ar-EG"/>
              </w:rPr>
              <w:t>100%</w:t>
            </w:r>
          </w:p>
        </w:tc>
        <w:tc>
          <w:tcPr>
            <w:tcW w:w="1596" w:type="dxa"/>
          </w:tcPr>
          <w:p w:rsidR="00537FD8" w:rsidRDefault="00537FD8" w:rsidP="00AD74D5">
            <w:pPr>
              <w:pStyle w:val="ListParagraph"/>
              <w:ind w:left="0"/>
              <w:jc w:val="center"/>
              <w:rPr>
                <w:lang w:bidi="ar-EG"/>
              </w:rPr>
            </w:pPr>
            <w:r>
              <w:rPr>
                <w:lang w:bidi="ar-EG"/>
              </w:rPr>
              <w:t>100%</w:t>
            </w:r>
          </w:p>
        </w:tc>
        <w:tc>
          <w:tcPr>
            <w:tcW w:w="1596" w:type="dxa"/>
          </w:tcPr>
          <w:p w:rsidR="00537FD8" w:rsidRDefault="00537FD8" w:rsidP="00AD74D5">
            <w:pPr>
              <w:pStyle w:val="ListParagraph"/>
              <w:ind w:left="0"/>
              <w:jc w:val="center"/>
              <w:rPr>
                <w:lang w:bidi="ar-EG"/>
              </w:rPr>
            </w:pPr>
            <w:r>
              <w:rPr>
                <w:lang w:bidi="ar-EG"/>
              </w:rPr>
              <w:t>100%</w:t>
            </w:r>
          </w:p>
        </w:tc>
        <w:tc>
          <w:tcPr>
            <w:tcW w:w="1596" w:type="dxa"/>
          </w:tcPr>
          <w:p w:rsidR="00537FD8" w:rsidRDefault="00537FD8" w:rsidP="00AD74D5">
            <w:pPr>
              <w:pStyle w:val="ListParagraph"/>
              <w:ind w:left="0"/>
              <w:jc w:val="center"/>
              <w:rPr>
                <w:lang w:bidi="ar-EG"/>
              </w:rPr>
            </w:pPr>
            <w:r>
              <w:rPr>
                <w:lang w:bidi="ar-EG"/>
              </w:rPr>
              <w:t>100%</w:t>
            </w:r>
          </w:p>
        </w:tc>
        <w:tc>
          <w:tcPr>
            <w:tcW w:w="1596" w:type="dxa"/>
          </w:tcPr>
          <w:p w:rsidR="00537FD8" w:rsidRDefault="00537FD8" w:rsidP="00AD74D5">
            <w:pPr>
              <w:pStyle w:val="ListParagraph"/>
              <w:ind w:left="0"/>
              <w:jc w:val="center"/>
              <w:rPr>
                <w:lang w:bidi="ar-EG"/>
              </w:rPr>
            </w:pPr>
            <w:r>
              <w:rPr>
                <w:lang w:bidi="ar-EG"/>
              </w:rPr>
              <w:t>100%</w:t>
            </w:r>
          </w:p>
        </w:tc>
      </w:tr>
      <w:tr w:rsidR="00537FD8" w:rsidTr="00AD74D5">
        <w:tc>
          <w:tcPr>
            <w:tcW w:w="1596" w:type="dxa"/>
          </w:tcPr>
          <w:p w:rsidR="00537FD8" w:rsidRDefault="001E42A1" w:rsidP="00AD74D5">
            <w:pPr>
              <w:pStyle w:val="ListParagraph"/>
              <w:ind w:left="0"/>
              <w:jc w:val="center"/>
              <w:rPr>
                <w:lang w:bidi="ar-EG"/>
              </w:rPr>
            </w:pPr>
            <w:r>
              <w:rPr>
                <w:lang w:bidi="ar-EG"/>
              </w:rPr>
              <w:t>Percentage of capacity utilization</w:t>
            </w:r>
          </w:p>
        </w:tc>
        <w:tc>
          <w:tcPr>
            <w:tcW w:w="1596" w:type="dxa"/>
          </w:tcPr>
          <w:p w:rsidR="00537FD8" w:rsidRDefault="001E42A1" w:rsidP="00AD74D5">
            <w:pPr>
              <w:pStyle w:val="ListParagraph"/>
              <w:ind w:left="0"/>
              <w:jc w:val="center"/>
              <w:rPr>
                <w:lang w:bidi="ar-EG"/>
              </w:rPr>
            </w:pPr>
            <w:r>
              <w:rPr>
                <w:lang w:bidi="ar-EG"/>
              </w:rPr>
              <w:t>-</w:t>
            </w:r>
          </w:p>
        </w:tc>
        <w:tc>
          <w:tcPr>
            <w:tcW w:w="1596" w:type="dxa"/>
          </w:tcPr>
          <w:p w:rsidR="00537FD8" w:rsidRDefault="001E42A1" w:rsidP="00AD74D5">
            <w:pPr>
              <w:pStyle w:val="ListParagraph"/>
              <w:ind w:left="0"/>
              <w:jc w:val="center"/>
              <w:rPr>
                <w:lang w:bidi="ar-EG"/>
              </w:rPr>
            </w:pPr>
            <w:r>
              <w:rPr>
                <w:lang w:bidi="ar-EG"/>
              </w:rPr>
              <w:t>-</w:t>
            </w:r>
          </w:p>
        </w:tc>
        <w:tc>
          <w:tcPr>
            <w:tcW w:w="1596" w:type="dxa"/>
          </w:tcPr>
          <w:p w:rsidR="00537FD8" w:rsidRDefault="001E42A1" w:rsidP="00AD74D5">
            <w:pPr>
              <w:pStyle w:val="ListParagraph"/>
              <w:ind w:left="0"/>
              <w:jc w:val="center"/>
              <w:rPr>
                <w:lang w:bidi="ar-EG"/>
              </w:rPr>
            </w:pPr>
            <w:r>
              <w:rPr>
                <w:lang w:bidi="ar-EG"/>
              </w:rPr>
              <w:t>-</w:t>
            </w:r>
          </w:p>
        </w:tc>
        <w:tc>
          <w:tcPr>
            <w:tcW w:w="1596" w:type="dxa"/>
          </w:tcPr>
          <w:p w:rsidR="00537FD8" w:rsidRDefault="001E42A1" w:rsidP="00AD74D5">
            <w:pPr>
              <w:pStyle w:val="ListParagraph"/>
              <w:ind w:left="0"/>
              <w:jc w:val="center"/>
              <w:rPr>
                <w:lang w:bidi="ar-EG"/>
              </w:rPr>
            </w:pPr>
            <w:r>
              <w:rPr>
                <w:lang w:bidi="ar-EG"/>
              </w:rPr>
              <w:t>-</w:t>
            </w:r>
          </w:p>
        </w:tc>
        <w:tc>
          <w:tcPr>
            <w:tcW w:w="1596" w:type="dxa"/>
          </w:tcPr>
          <w:p w:rsidR="00537FD8" w:rsidRDefault="001E42A1" w:rsidP="00AD74D5">
            <w:pPr>
              <w:pStyle w:val="ListParagraph"/>
              <w:ind w:left="0"/>
              <w:jc w:val="center"/>
              <w:rPr>
                <w:lang w:bidi="ar-EG"/>
              </w:rPr>
            </w:pPr>
            <w:r>
              <w:rPr>
                <w:lang w:bidi="ar-EG"/>
              </w:rPr>
              <w:t>-</w:t>
            </w:r>
          </w:p>
          <w:p w:rsidR="00537FD8" w:rsidRDefault="00537FD8" w:rsidP="00AD74D5">
            <w:pPr>
              <w:pStyle w:val="ListParagraph"/>
              <w:ind w:left="0"/>
              <w:jc w:val="center"/>
              <w:rPr>
                <w:lang w:bidi="ar-EG"/>
              </w:rPr>
            </w:pPr>
          </w:p>
        </w:tc>
      </w:tr>
      <w:tr w:rsidR="001E42A1" w:rsidTr="00AD74D5">
        <w:tc>
          <w:tcPr>
            <w:tcW w:w="1596" w:type="dxa"/>
          </w:tcPr>
          <w:p w:rsidR="001E42A1" w:rsidRDefault="001E42A1" w:rsidP="00AD74D5">
            <w:pPr>
              <w:pStyle w:val="ListParagraph"/>
              <w:ind w:left="0"/>
              <w:jc w:val="center"/>
              <w:rPr>
                <w:lang w:bidi="ar-EG"/>
              </w:rPr>
            </w:pPr>
            <w:r>
              <w:rPr>
                <w:lang w:bidi="ar-EG"/>
              </w:rPr>
              <w:t xml:space="preserve">Index </w:t>
            </w:r>
          </w:p>
        </w:tc>
        <w:tc>
          <w:tcPr>
            <w:tcW w:w="1596" w:type="dxa"/>
          </w:tcPr>
          <w:p w:rsidR="001E42A1" w:rsidRDefault="001E42A1" w:rsidP="00AD74D5">
            <w:pPr>
              <w:pStyle w:val="ListParagraph"/>
              <w:ind w:left="0"/>
              <w:jc w:val="center"/>
              <w:rPr>
                <w:lang w:bidi="ar-EG"/>
              </w:rPr>
            </w:pPr>
            <w:r>
              <w:rPr>
                <w:lang w:bidi="ar-EG"/>
              </w:rPr>
              <w:t>100%</w:t>
            </w:r>
          </w:p>
        </w:tc>
        <w:tc>
          <w:tcPr>
            <w:tcW w:w="1596" w:type="dxa"/>
          </w:tcPr>
          <w:p w:rsidR="001E42A1" w:rsidRDefault="001E42A1" w:rsidP="00AD74D5">
            <w:pPr>
              <w:pStyle w:val="ListParagraph"/>
              <w:ind w:left="0"/>
              <w:jc w:val="center"/>
              <w:rPr>
                <w:lang w:bidi="ar-EG"/>
              </w:rPr>
            </w:pPr>
            <w:r>
              <w:rPr>
                <w:lang w:bidi="ar-EG"/>
              </w:rPr>
              <w:t>97%</w:t>
            </w:r>
          </w:p>
        </w:tc>
        <w:tc>
          <w:tcPr>
            <w:tcW w:w="1596" w:type="dxa"/>
          </w:tcPr>
          <w:p w:rsidR="001E42A1" w:rsidRDefault="001E42A1" w:rsidP="00AD74D5">
            <w:pPr>
              <w:pStyle w:val="ListParagraph"/>
              <w:ind w:left="0"/>
              <w:jc w:val="center"/>
              <w:rPr>
                <w:lang w:bidi="ar-EG"/>
              </w:rPr>
            </w:pPr>
            <w:r>
              <w:rPr>
                <w:lang w:bidi="ar-EG"/>
              </w:rPr>
              <w:t>96%</w:t>
            </w:r>
          </w:p>
        </w:tc>
        <w:tc>
          <w:tcPr>
            <w:tcW w:w="1596" w:type="dxa"/>
          </w:tcPr>
          <w:p w:rsidR="001E42A1" w:rsidRDefault="001E42A1" w:rsidP="00AD74D5">
            <w:pPr>
              <w:pStyle w:val="ListParagraph"/>
              <w:ind w:left="0"/>
              <w:jc w:val="center"/>
              <w:rPr>
                <w:lang w:bidi="ar-EG"/>
              </w:rPr>
            </w:pPr>
            <w:r>
              <w:rPr>
                <w:lang w:bidi="ar-EG"/>
              </w:rPr>
              <w:t>100%</w:t>
            </w:r>
          </w:p>
        </w:tc>
        <w:tc>
          <w:tcPr>
            <w:tcW w:w="1596" w:type="dxa"/>
          </w:tcPr>
          <w:p w:rsidR="001E42A1" w:rsidRDefault="001E42A1" w:rsidP="00AD74D5">
            <w:pPr>
              <w:pStyle w:val="ListParagraph"/>
              <w:ind w:left="0"/>
              <w:jc w:val="center"/>
              <w:rPr>
                <w:lang w:bidi="ar-EG"/>
              </w:rPr>
            </w:pPr>
            <w:r>
              <w:rPr>
                <w:lang w:bidi="ar-EG"/>
              </w:rPr>
              <w:t>91%</w:t>
            </w:r>
          </w:p>
        </w:tc>
      </w:tr>
    </w:tbl>
    <w:p w:rsidR="00537FD8" w:rsidRDefault="001E42A1" w:rsidP="001E42A1">
      <w:pPr>
        <w:pStyle w:val="ListParagraph"/>
        <w:numPr>
          <w:ilvl w:val="0"/>
          <w:numId w:val="8"/>
        </w:numPr>
        <w:jc w:val="both"/>
      </w:pPr>
      <w:r>
        <w:t>Comparison: basic year</w:t>
      </w:r>
    </w:p>
    <w:p w:rsidR="001E42A1" w:rsidRDefault="00AF35A6" w:rsidP="00AF35A6">
      <w:pPr>
        <w:pStyle w:val="ListParagraph"/>
        <w:numPr>
          <w:ilvl w:val="2"/>
          <w:numId w:val="4"/>
        </w:numPr>
        <w:jc w:val="both"/>
      </w:pPr>
      <w:r>
        <w:t>T</w:t>
      </w:r>
      <w:r w:rsidR="001E42A1">
        <w:t xml:space="preserve">he previous table shows the drop of the </w:t>
      </w:r>
      <w:r w:rsidR="001A732F">
        <w:t xml:space="preserve">volume of production at 3% and 4% over 2017/2018 and 2018/2019 respectively in comparison to 2016/2017. The drop continued at </w:t>
      </w:r>
      <w:r w:rsidR="001A732F">
        <w:lastRenderedPageBreak/>
        <w:t xml:space="preserve">9% in the first half of the financial year 2019/2020 in comparison to </w:t>
      </w:r>
      <w:r>
        <w:t>the</w:t>
      </w:r>
      <w:r w:rsidR="001A732F">
        <w:t xml:space="preserve"> similar period of 2016/2017. </w:t>
      </w:r>
    </w:p>
    <w:p w:rsidR="001A732F" w:rsidRDefault="001A732F" w:rsidP="00C54704">
      <w:pPr>
        <w:pStyle w:val="ListParagraph"/>
        <w:numPr>
          <w:ilvl w:val="2"/>
          <w:numId w:val="4"/>
        </w:numPr>
        <w:jc w:val="both"/>
      </w:pPr>
      <w:r>
        <w:t>The previous table sho</w:t>
      </w:r>
      <w:r w:rsidR="00811B46">
        <w:t xml:space="preserve">ws also a drop of </w:t>
      </w:r>
      <w:r>
        <w:t xml:space="preserve">capacity utilization </w:t>
      </w:r>
      <w:r w:rsidR="00811B46">
        <w:t xml:space="preserve">rate </w:t>
      </w:r>
      <w:r>
        <w:t xml:space="preserve">over the period of injury analysis at the same rate of production drop under steady available </w:t>
      </w:r>
      <w:r w:rsidR="00C54704">
        <w:t>capacit</w:t>
      </w:r>
      <w:r>
        <w:t xml:space="preserve">y. </w:t>
      </w:r>
    </w:p>
    <w:p w:rsidR="001A732F" w:rsidRPr="00AF35A6" w:rsidRDefault="001A732F" w:rsidP="001A732F">
      <w:pPr>
        <w:ind w:left="360"/>
        <w:jc w:val="both"/>
        <w:rPr>
          <w:b/>
          <w:bCs/>
        </w:rPr>
      </w:pPr>
      <w:r w:rsidRPr="00AF35A6">
        <w:rPr>
          <w:b/>
          <w:bCs/>
        </w:rPr>
        <w:t xml:space="preserve">Finding: </w:t>
      </w:r>
    </w:p>
    <w:p w:rsidR="001A732F" w:rsidRDefault="00AF35A6" w:rsidP="00C54704">
      <w:pPr>
        <w:pStyle w:val="ListParagraph"/>
        <w:numPr>
          <w:ilvl w:val="2"/>
          <w:numId w:val="4"/>
        </w:numPr>
        <w:jc w:val="both"/>
      </w:pPr>
      <w:r>
        <w:t>The</w:t>
      </w:r>
      <w:r w:rsidR="001A732F">
        <w:t xml:space="preserve"> Investigating Authority found there is drop in both production and the utilized </w:t>
      </w:r>
      <w:r w:rsidR="00C54704">
        <w:t>capacity</w:t>
      </w:r>
      <w:r w:rsidR="00C54704">
        <w:t xml:space="preserve"> rate </w:t>
      </w:r>
      <w:r w:rsidR="001A732F">
        <w:t xml:space="preserve">during the period of analyzing the injury. </w:t>
      </w:r>
    </w:p>
    <w:p w:rsidR="001A732F" w:rsidRPr="00AF35A6" w:rsidRDefault="001A732F" w:rsidP="001A732F">
      <w:pPr>
        <w:pStyle w:val="ListParagraph"/>
        <w:numPr>
          <w:ilvl w:val="1"/>
          <w:numId w:val="4"/>
        </w:numPr>
        <w:jc w:val="both"/>
        <w:rPr>
          <w:b/>
          <w:bCs/>
        </w:rPr>
      </w:pPr>
      <w:proofErr w:type="spellStart"/>
      <w:r w:rsidRPr="00AF35A6">
        <w:rPr>
          <w:b/>
          <w:bCs/>
        </w:rPr>
        <w:t>Labour</w:t>
      </w:r>
      <w:proofErr w:type="spellEnd"/>
      <w:r w:rsidRPr="00AF35A6">
        <w:rPr>
          <w:b/>
          <w:bCs/>
        </w:rPr>
        <w:t xml:space="preserve"> and productivity</w:t>
      </w:r>
    </w:p>
    <w:p w:rsidR="001A732F" w:rsidRPr="001A732F" w:rsidRDefault="001A732F" w:rsidP="001A732F">
      <w:pPr>
        <w:jc w:val="center"/>
        <w:rPr>
          <w:b/>
          <w:bCs/>
        </w:rPr>
      </w:pPr>
      <w:r w:rsidRPr="001A732F">
        <w:rPr>
          <w:b/>
          <w:bCs/>
        </w:rPr>
        <w:t>Table (4-3)</w:t>
      </w:r>
    </w:p>
    <w:p w:rsidR="001A732F" w:rsidRPr="001A732F" w:rsidRDefault="001A732F" w:rsidP="001A732F">
      <w:pPr>
        <w:jc w:val="center"/>
        <w:rPr>
          <w:b/>
          <w:bCs/>
        </w:rPr>
      </w:pPr>
      <w:proofErr w:type="spellStart"/>
      <w:r w:rsidRPr="001A732F">
        <w:rPr>
          <w:b/>
          <w:bCs/>
        </w:rPr>
        <w:t>Labour</w:t>
      </w:r>
      <w:proofErr w:type="spellEnd"/>
      <w:r w:rsidRPr="001A732F">
        <w:rPr>
          <w:b/>
          <w:bCs/>
        </w:rPr>
        <w:t xml:space="preserve"> and productivity</w:t>
      </w:r>
    </w:p>
    <w:tbl>
      <w:tblPr>
        <w:tblStyle w:val="TableGrid"/>
        <w:tblW w:w="0" w:type="auto"/>
        <w:tblInd w:w="732" w:type="dxa"/>
        <w:tblLook w:val="04A0" w:firstRow="1" w:lastRow="0" w:firstColumn="1" w:lastColumn="0" w:noHBand="0" w:noVBand="1"/>
      </w:tblPr>
      <w:tblGrid>
        <w:gridCol w:w="1523"/>
        <w:gridCol w:w="1465"/>
        <w:gridCol w:w="1464"/>
        <w:gridCol w:w="1464"/>
        <w:gridCol w:w="1464"/>
        <w:gridCol w:w="1464"/>
      </w:tblGrid>
      <w:tr w:rsidR="001A732F" w:rsidRPr="0064194E" w:rsidTr="001A732F">
        <w:tc>
          <w:tcPr>
            <w:tcW w:w="1523" w:type="dxa"/>
          </w:tcPr>
          <w:p w:rsidR="001A732F" w:rsidRPr="0064194E" w:rsidRDefault="001A732F" w:rsidP="00AD74D5">
            <w:pPr>
              <w:pStyle w:val="ListParagraph"/>
              <w:ind w:left="0"/>
              <w:jc w:val="center"/>
              <w:rPr>
                <w:b/>
                <w:bCs/>
                <w:lang w:bidi="ar-EG"/>
              </w:rPr>
            </w:pPr>
            <w:r w:rsidRPr="0064194E">
              <w:rPr>
                <w:b/>
                <w:bCs/>
                <w:lang w:bidi="ar-EG"/>
              </w:rPr>
              <w:t>Description</w:t>
            </w:r>
          </w:p>
        </w:tc>
        <w:tc>
          <w:tcPr>
            <w:tcW w:w="1465" w:type="dxa"/>
          </w:tcPr>
          <w:p w:rsidR="001A732F" w:rsidRPr="0064194E" w:rsidRDefault="001A732F" w:rsidP="00AD74D5">
            <w:pPr>
              <w:pStyle w:val="ListParagraph"/>
              <w:ind w:left="0"/>
              <w:jc w:val="center"/>
              <w:rPr>
                <w:b/>
                <w:bCs/>
                <w:lang w:bidi="ar-EG"/>
              </w:rPr>
            </w:pPr>
            <w:r w:rsidRPr="0064194E">
              <w:rPr>
                <w:b/>
                <w:bCs/>
                <w:lang w:bidi="ar-EG"/>
              </w:rPr>
              <w:t>2016/2017</w:t>
            </w:r>
          </w:p>
        </w:tc>
        <w:tc>
          <w:tcPr>
            <w:tcW w:w="1464" w:type="dxa"/>
          </w:tcPr>
          <w:p w:rsidR="001A732F" w:rsidRPr="0064194E" w:rsidRDefault="001A732F" w:rsidP="00AD74D5">
            <w:pPr>
              <w:pStyle w:val="ListParagraph"/>
              <w:ind w:left="0"/>
              <w:jc w:val="center"/>
              <w:rPr>
                <w:b/>
                <w:bCs/>
                <w:lang w:bidi="ar-EG"/>
              </w:rPr>
            </w:pPr>
            <w:r w:rsidRPr="0064194E">
              <w:rPr>
                <w:b/>
                <w:bCs/>
                <w:lang w:bidi="ar-EG"/>
              </w:rPr>
              <w:t>2017/2018</w:t>
            </w:r>
          </w:p>
        </w:tc>
        <w:tc>
          <w:tcPr>
            <w:tcW w:w="1464" w:type="dxa"/>
          </w:tcPr>
          <w:p w:rsidR="001A732F" w:rsidRPr="0064194E" w:rsidRDefault="001A732F" w:rsidP="00AD74D5">
            <w:pPr>
              <w:pStyle w:val="ListParagraph"/>
              <w:ind w:left="0"/>
              <w:jc w:val="center"/>
              <w:rPr>
                <w:b/>
                <w:bCs/>
                <w:lang w:bidi="ar-EG"/>
              </w:rPr>
            </w:pPr>
            <w:r w:rsidRPr="0064194E">
              <w:rPr>
                <w:b/>
                <w:bCs/>
                <w:lang w:bidi="ar-EG"/>
              </w:rPr>
              <w:t>2018/2019</w:t>
            </w:r>
          </w:p>
        </w:tc>
        <w:tc>
          <w:tcPr>
            <w:tcW w:w="1464" w:type="dxa"/>
          </w:tcPr>
          <w:p w:rsidR="001A732F" w:rsidRPr="0064194E" w:rsidRDefault="001A732F" w:rsidP="00AD74D5">
            <w:pPr>
              <w:pStyle w:val="ListParagraph"/>
              <w:ind w:left="0"/>
              <w:jc w:val="center"/>
              <w:rPr>
                <w:b/>
                <w:bCs/>
                <w:lang w:bidi="ar-EG"/>
              </w:rPr>
            </w:pPr>
            <w:r w:rsidRPr="0064194E">
              <w:rPr>
                <w:b/>
                <w:bCs/>
                <w:lang w:bidi="ar-EG"/>
              </w:rPr>
              <w:t>First half</w:t>
            </w:r>
          </w:p>
          <w:p w:rsidR="001A732F" w:rsidRPr="0064194E" w:rsidRDefault="001A732F" w:rsidP="00AD74D5">
            <w:pPr>
              <w:pStyle w:val="ListParagraph"/>
              <w:ind w:left="0"/>
              <w:jc w:val="center"/>
              <w:rPr>
                <w:b/>
                <w:bCs/>
                <w:lang w:bidi="ar-EG"/>
              </w:rPr>
            </w:pPr>
            <w:r w:rsidRPr="0064194E">
              <w:rPr>
                <w:b/>
                <w:bCs/>
                <w:lang w:bidi="ar-EG"/>
              </w:rPr>
              <w:t>2016/2017</w:t>
            </w:r>
          </w:p>
        </w:tc>
        <w:tc>
          <w:tcPr>
            <w:tcW w:w="1464" w:type="dxa"/>
          </w:tcPr>
          <w:p w:rsidR="001A732F" w:rsidRPr="0064194E" w:rsidRDefault="001A732F" w:rsidP="00AD74D5">
            <w:pPr>
              <w:pStyle w:val="ListParagraph"/>
              <w:ind w:left="0"/>
              <w:jc w:val="center"/>
              <w:rPr>
                <w:b/>
                <w:bCs/>
                <w:lang w:bidi="ar-EG"/>
              </w:rPr>
            </w:pPr>
            <w:r w:rsidRPr="0064194E">
              <w:rPr>
                <w:b/>
                <w:bCs/>
                <w:lang w:bidi="ar-EG"/>
              </w:rPr>
              <w:t>First half</w:t>
            </w:r>
          </w:p>
          <w:p w:rsidR="001A732F" w:rsidRPr="0064194E" w:rsidRDefault="001A732F" w:rsidP="00AD74D5">
            <w:pPr>
              <w:pStyle w:val="ListParagraph"/>
              <w:ind w:left="0"/>
              <w:jc w:val="center"/>
              <w:rPr>
                <w:b/>
                <w:bCs/>
                <w:lang w:bidi="ar-EG"/>
              </w:rPr>
            </w:pPr>
            <w:r w:rsidRPr="0064194E">
              <w:rPr>
                <w:b/>
                <w:bCs/>
                <w:lang w:bidi="ar-EG"/>
              </w:rPr>
              <w:t>2019/2020</w:t>
            </w:r>
          </w:p>
        </w:tc>
      </w:tr>
      <w:tr w:rsidR="001A732F" w:rsidTr="001A732F">
        <w:tc>
          <w:tcPr>
            <w:tcW w:w="1523" w:type="dxa"/>
          </w:tcPr>
          <w:p w:rsidR="001A732F" w:rsidRDefault="001A732F" w:rsidP="00AD74D5">
            <w:pPr>
              <w:pStyle w:val="ListParagraph"/>
              <w:ind w:left="0"/>
              <w:jc w:val="center"/>
              <w:rPr>
                <w:lang w:bidi="ar-EG"/>
              </w:rPr>
            </w:pPr>
            <w:proofErr w:type="spellStart"/>
            <w:r>
              <w:rPr>
                <w:lang w:bidi="ar-EG"/>
              </w:rPr>
              <w:t>Labour</w:t>
            </w:r>
            <w:proofErr w:type="spellEnd"/>
            <w:r>
              <w:rPr>
                <w:lang w:bidi="ar-EG"/>
              </w:rPr>
              <w:t xml:space="preserve"> (worker)</w:t>
            </w:r>
          </w:p>
        </w:tc>
        <w:tc>
          <w:tcPr>
            <w:tcW w:w="1465"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r>
      <w:tr w:rsidR="001A732F" w:rsidTr="001A732F">
        <w:tc>
          <w:tcPr>
            <w:tcW w:w="1523" w:type="dxa"/>
          </w:tcPr>
          <w:p w:rsidR="001A732F" w:rsidRDefault="001A732F" w:rsidP="00AD74D5">
            <w:pPr>
              <w:pStyle w:val="ListParagraph"/>
              <w:ind w:left="0"/>
              <w:jc w:val="center"/>
              <w:rPr>
                <w:lang w:bidi="ar-EG"/>
              </w:rPr>
            </w:pPr>
            <w:r>
              <w:rPr>
                <w:lang w:bidi="ar-EG"/>
              </w:rPr>
              <w:t>Index</w:t>
            </w:r>
          </w:p>
        </w:tc>
        <w:tc>
          <w:tcPr>
            <w:tcW w:w="1465" w:type="dxa"/>
          </w:tcPr>
          <w:p w:rsidR="001A732F" w:rsidRDefault="001A732F" w:rsidP="00AD74D5">
            <w:pPr>
              <w:pStyle w:val="ListParagraph"/>
              <w:ind w:left="0"/>
              <w:jc w:val="center"/>
              <w:rPr>
                <w:lang w:bidi="ar-EG"/>
              </w:rPr>
            </w:pPr>
            <w:r>
              <w:rPr>
                <w:lang w:bidi="ar-EG"/>
              </w:rPr>
              <w:t>100%</w:t>
            </w:r>
          </w:p>
        </w:tc>
        <w:tc>
          <w:tcPr>
            <w:tcW w:w="1464" w:type="dxa"/>
          </w:tcPr>
          <w:p w:rsidR="001A732F" w:rsidRDefault="001A732F" w:rsidP="001A732F">
            <w:pPr>
              <w:pStyle w:val="ListParagraph"/>
              <w:ind w:left="0"/>
              <w:jc w:val="center"/>
              <w:rPr>
                <w:lang w:bidi="ar-EG"/>
              </w:rPr>
            </w:pPr>
            <w:r>
              <w:rPr>
                <w:lang w:bidi="ar-EG"/>
              </w:rPr>
              <w:t>94%</w:t>
            </w:r>
          </w:p>
        </w:tc>
        <w:tc>
          <w:tcPr>
            <w:tcW w:w="1464" w:type="dxa"/>
          </w:tcPr>
          <w:p w:rsidR="001A732F" w:rsidRDefault="001A732F" w:rsidP="00AD74D5">
            <w:pPr>
              <w:pStyle w:val="ListParagraph"/>
              <w:ind w:left="0"/>
              <w:jc w:val="center"/>
              <w:rPr>
                <w:lang w:bidi="ar-EG"/>
              </w:rPr>
            </w:pPr>
            <w:r>
              <w:rPr>
                <w:lang w:bidi="ar-EG"/>
              </w:rPr>
              <w:t>89%</w:t>
            </w:r>
          </w:p>
        </w:tc>
        <w:tc>
          <w:tcPr>
            <w:tcW w:w="1464" w:type="dxa"/>
          </w:tcPr>
          <w:p w:rsidR="001A732F" w:rsidRDefault="001A732F" w:rsidP="00AD74D5">
            <w:pPr>
              <w:pStyle w:val="ListParagraph"/>
              <w:ind w:left="0"/>
              <w:jc w:val="center"/>
              <w:rPr>
                <w:lang w:bidi="ar-EG"/>
              </w:rPr>
            </w:pPr>
            <w:r>
              <w:rPr>
                <w:lang w:bidi="ar-EG"/>
              </w:rPr>
              <w:t>100%</w:t>
            </w:r>
          </w:p>
        </w:tc>
        <w:tc>
          <w:tcPr>
            <w:tcW w:w="1464" w:type="dxa"/>
          </w:tcPr>
          <w:p w:rsidR="001A732F" w:rsidRDefault="001A732F" w:rsidP="00AD74D5">
            <w:pPr>
              <w:pStyle w:val="ListParagraph"/>
              <w:ind w:left="0"/>
              <w:jc w:val="center"/>
              <w:rPr>
                <w:lang w:bidi="ar-EG"/>
              </w:rPr>
            </w:pPr>
            <w:r>
              <w:rPr>
                <w:lang w:bidi="ar-EG"/>
              </w:rPr>
              <w:t>86%</w:t>
            </w:r>
          </w:p>
        </w:tc>
      </w:tr>
      <w:tr w:rsidR="001A732F" w:rsidTr="001A732F">
        <w:tc>
          <w:tcPr>
            <w:tcW w:w="1523" w:type="dxa"/>
          </w:tcPr>
          <w:p w:rsidR="001A732F" w:rsidRDefault="001A732F" w:rsidP="00AD74D5">
            <w:pPr>
              <w:pStyle w:val="ListParagraph"/>
              <w:ind w:left="0"/>
              <w:jc w:val="center"/>
              <w:rPr>
                <w:lang w:bidi="ar-EG"/>
              </w:rPr>
            </w:pPr>
            <w:r>
              <w:rPr>
                <w:lang w:bidi="ar-EG"/>
              </w:rPr>
              <w:t>production</w:t>
            </w:r>
          </w:p>
        </w:tc>
        <w:tc>
          <w:tcPr>
            <w:tcW w:w="1465" w:type="dxa"/>
          </w:tcPr>
          <w:p w:rsidR="001A732F" w:rsidRDefault="001A732F" w:rsidP="00AD74D5">
            <w:pPr>
              <w:pStyle w:val="ListParagraph"/>
              <w:numPr>
                <w:ilvl w:val="0"/>
                <w:numId w:val="7"/>
              </w:numPr>
              <w:jc w:val="center"/>
              <w:rPr>
                <w:lang w:bidi="ar-EG"/>
              </w:rPr>
            </w:pP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r>
      <w:tr w:rsidR="001A732F" w:rsidTr="001A732F">
        <w:tc>
          <w:tcPr>
            <w:tcW w:w="1523" w:type="dxa"/>
          </w:tcPr>
          <w:p w:rsidR="001A732F" w:rsidRDefault="001A732F" w:rsidP="00AD74D5">
            <w:pPr>
              <w:pStyle w:val="ListParagraph"/>
              <w:ind w:left="0"/>
              <w:jc w:val="center"/>
              <w:rPr>
                <w:lang w:bidi="ar-EG"/>
              </w:rPr>
            </w:pPr>
            <w:r>
              <w:rPr>
                <w:lang w:bidi="ar-EG"/>
              </w:rPr>
              <w:t>Productivity (ton/worker)</w:t>
            </w:r>
          </w:p>
        </w:tc>
        <w:tc>
          <w:tcPr>
            <w:tcW w:w="1465"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c>
          <w:tcPr>
            <w:tcW w:w="1464" w:type="dxa"/>
          </w:tcPr>
          <w:p w:rsidR="001A732F" w:rsidRDefault="001A732F" w:rsidP="00AD74D5">
            <w:pPr>
              <w:pStyle w:val="ListParagraph"/>
              <w:ind w:left="0"/>
              <w:jc w:val="center"/>
              <w:rPr>
                <w:lang w:bidi="ar-EG"/>
              </w:rPr>
            </w:pPr>
            <w:r>
              <w:rPr>
                <w:lang w:bidi="ar-EG"/>
              </w:rPr>
              <w:t>-</w:t>
            </w:r>
          </w:p>
        </w:tc>
      </w:tr>
      <w:tr w:rsidR="001A732F" w:rsidTr="001A732F">
        <w:tc>
          <w:tcPr>
            <w:tcW w:w="1523" w:type="dxa"/>
          </w:tcPr>
          <w:p w:rsidR="001A732F" w:rsidRDefault="001A732F" w:rsidP="00AD74D5">
            <w:pPr>
              <w:pStyle w:val="ListParagraph"/>
              <w:ind w:left="0"/>
              <w:jc w:val="center"/>
              <w:rPr>
                <w:lang w:bidi="ar-EG"/>
              </w:rPr>
            </w:pPr>
            <w:r>
              <w:rPr>
                <w:lang w:bidi="ar-EG"/>
              </w:rPr>
              <w:t xml:space="preserve">Index </w:t>
            </w:r>
          </w:p>
        </w:tc>
        <w:tc>
          <w:tcPr>
            <w:tcW w:w="1465" w:type="dxa"/>
          </w:tcPr>
          <w:p w:rsidR="001A732F" w:rsidRDefault="001A732F" w:rsidP="00AD74D5">
            <w:pPr>
              <w:pStyle w:val="ListParagraph"/>
              <w:ind w:left="0"/>
              <w:jc w:val="center"/>
              <w:rPr>
                <w:lang w:bidi="ar-EG"/>
              </w:rPr>
            </w:pPr>
            <w:r>
              <w:rPr>
                <w:lang w:bidi="ar-EG"/>
              </w:rPr>
              <w:t>100%</w:t>
            </w:r>
          </w:p>
        </w:tc>
        <w:tc>
          <w:tcPr>
            <w:tcW w:w="1464" w:type="dxa"/>
          </w:tcPr>
          <w:p w:rsidR="001A732F" w:rsidRDefault="001A732F" w:rsidP="00AD74D5">
            <w:pPr>
              <w:pStyle w:val="ListParagraph"/>
              <w:ind w:left="0"/>
              <w:jc w:val="center"/>
              <w:rPr>
                <w:lang w:bidi="ar-EG"/>
              </w:rPr>
            </w:pPr>
            <w:r>
              <w:rPr>
                <w:lang w:bidi="ar-EG"/>
              </w:rPr>
              <w:t>103%</w:t>
            </w:r>
          </w:p>
        </w:tc>
        <w:tc>
          <w:tcPr>
            <w:tcW w:w="1464" w:type="dxa"/>
          </w:tcPr>
          <w:p w:rsidR="001A732F" w:rsidRDefault="001A732F" w:rsidP="00AD74D5">
            <w:pPr>
              <w:pStyle w:val="ListParagraph"/>
              <w:ind w:left="0"/>
              <w:jc w:val="center"/>
              <w:rPr>
                <w:lang w:bidi="ar-EG"/>
              </w:rPr>
            </w:pPr>
            <w:r>
              <w:rPr>
                <w:lang w:bidi="ar-EG"/>
              </w:rPr>
              <w:t>110%</w:t>
            </w:r>
          </w:p>
        </w:tc>
        <w:tc>
          <w:tcPr>
            <w:tcW w:w="1464" w:type="dxa"/>
          </w:tcPr>
          <w:p w:rsidR="001A732F" w:rsidRDefault="001A732F" w:rsidP="00AD74D5">
            <w:pPr>
              <w:pStyle w:val="ListParagraph"/>
              <w:ind w:left="0"/>
              <w:jc w:val="center"/>
              <w:rPr>
                <w:lang w:bidi="ar-EG"/>
              </w:rPr>
            </w:pPr>
            <w:r>
              <w:rPr>
                <w:lang w:bidi="ar-EG"/>
              </w:rPr>
              <w:t>100%</w:t>
            </w:r>
          </w:p>
        </w:tc>
        <w:tc>
          <w:tcPr>
            <w:tcW w:w="1464" w:type="dxa"/>
          </w:tcPr>
          <w:p w:rsidR="001A732F" w:rsidRDefault="001A732F" w:rsidP="00AD74D5">
            <w:pPr>
              <w:pStyle w:val="ListParagraph"/>
              <w:ind w:left="0"/>
              <w:jc w:val="center"/>
              <w:rPr>
                <w:lang w:bidi="ar-EG"/>
              </w:rPr>
            </w:pPr>
            <w:r>
              <w:rPr>
                <w:lang w:bidi="ar-EG"/>
              </w:rPr>
              <w:t>107%</w:t>
            </w:r>
          </w:p>
        </w:tc>
      </w:tr>
    </w:tbl>
    <w:p w:rsidR="001A732F" w:rsidRDefault="00AD74D5" w:rsidP="00AD74D5">
      <w:pPr>
        <w:pStyle w:val="ListParagraph"/>
        <w:numPr>
          <w:ilvl w:val="0"/>
          <w:numId w:val="8"/>
        </w:numPr>
        <w:jc w:val="both"/>
      </w:pPr>
      <w:r>
        <w:t>Comparison: basic year</w:t>
      </w:r>
    </w:p>
    <w:p w:rsidR="00E43293" w:rsidRDefault="009B3150" w:rsidP="00E43293">
      <w:pPr>
        <w:pStyle w:val="ListParagraph"/>
        <w:numPr>
          <w:ilvl w:val="2"/>
          <w:numId w:val="4"/>
        </w:numPr>
        <w:jc w:val="both"/>
      </w:pPr>
      <w:r>
        <w:t>The previous table</w:t>
      </w:r>
      <w:r w:rsidR="00E43293">
        <w:t xml:space="preserve"> shows a drop in the number </w:t>
      </w:r>
      <w:r>
        <w:t>o</w:t>
      </w:r>
      <w:r w:rsidR="000170D1">
        <w:t xml:space="preserve">f </w:t>
      </w:r>
      <w:proofErr w:type="spellStart"/>
      <w:r w:rsidR="000170D1">
        <w:t>labour</w:t>
      </w:r>
      <w:proofErr w:type="spellEnd"/>
      <w:r w:rsidR="000170D1">
        <w:t xml:space="preserve"> over the investigated</w:t>
      </w:r>
      <w:r w:rsidR="00E43293">
        <w:t xml:space="preserve"> period, drop rates reached 6% and 11% over 2017/2018 and 2018/2019 in comparison to  2016/2017. The drop maintained at 14% in the first half of 2019/2020 in comparison to the first half of 2016/2017.</w:t>
      </w:r>
    </w:p>
    <w:p w:rsidR="006265C3" w:rsidRDefault="00E43293" w:rsidP="006265C3">
      <w:pPr>
        <w:pStyle w:val="ListParagraph"/>
        <w:numPr>
          <w:ilvl w:val="2"/>
          <w:numId w:val="4"/>
        </w:numPr>
        <w:jc w:val="both"/>
      </w:pPr>
      <w:r>
        <w:t>The previous table furth</w:t>
      </w:r>
      <w:r w:rsidR="000170D1">
        <w:t xml:space="preserve">er shows the increase in </w:t>
      </w:r>
      <w:proofErr w:type="spellStart"/>
      <w:r w:rsidR="000170D1">
        <w:t>la</w:t>
      </w:r>
      <w:r>
        <w:t>bour</w:t>
      </w:r>
      <w:proofErr w:type="spellEnd"/>
      <w:r>
        <w:t xml:space="preserve"> pr</w:t>
      </w:r>
      <w:r w:rsidR="000170D1">
        <w:t>oductivity over the investigated</w:t>
      </w:r>
      <w:r>
        <w:t xml:space="preserve"> period; rates rose at 3% and 10% over 2017/2018 and 2018/2019 in comparison to 2016/2017. Such increase is attributed to the fact that the drop rate of the number of workers is bigger than </w:t>
      </w:r>
      <w:r w:rsidR="006265C3">
        <w:t>production drop rate. In the first half of 2019/2020 productivity rose at 7% in comparison to a similar period in 2016/2017.</w:t>
      </w:r>
    </w:p>
    <w:p w:rsidR="006265C3" w:rsidRPr="009B3150" w:rsidRDefault="006265C3" w:rsidP="006265C3">
      <w:pPr>
        <w:jc w:val="both"/>
        <w:rPr>
          <w:b/>
          <w:bCs/>
        </w:rPr>
      </w:pPr>
      <w:r w:rsidRPr="009B3150">
        <w:rPr>
          <w:b/>
          <w:bCs/>
        </w:rPr>
        <w:t xml:space="preserve">Finding </w:t>
      </w:r>
    </w:p>
    <w:p w:rsidR="006265C3" w:rsidRDefault="006265C3" w:rsidP="006265C3">
      <w:pPr>
        <w:pStyle w:val="ListParagraph"/>
        <w:numPr>
          <w:ilvl w:val="2"/>
          <w:numId w:val="4"/>
        </w:numPr>
        <w:jc w:val="both"/>
      </w:pPr>
      <w:r>
        <w:t xml:space="preserve">The Investigating Authority found that </w:t>
      </w:r>
      <w:proofErr w:type="spellStart"/>
      <w:r>
        <w:t>labour</w:t>
      </w:r>
      <w:proofErr w:type="spellEnd"/>
      <w:r>
        <w:t xml:space="preserve"> dropped over the period of analyzing injury</w:t>
      </w:r>
    </w:p>
    <w:p w:rsidR="006265C3" w:rsidRPr="002D4F1A" w:rsidRDefault="006265C3" w:rsidP="006265C3">
      <w:pPr>
        <w:pStyle w:val="ListParagraph"/>
        <w:numPr>
          <w:ilvl w:val="1"/>
          <w:numId w:val="4"/>
        </w:numPr>
        <w:jc w:val="both"/>
        <w:rPr>
          <w:b/>
          <w:bCs/>
        </w:rPr>
      </w:pPr>
      <w:r w:rsidRPr="002D4F1A">
        <w:rPr>
          <w:b/>
          <w:bCs/>
        </w:rPr>
        <w:t>Profits and losses</w:t>
      </w:r>
    </w:p>
    <w:p w:rsidR="006265C3" w:rsidRPr="006265C3" w:rsidRDefault="006265C3" w:rsidP="006265C3">
      <w:pPr>
        <w:pStyle w:val="ListParagraph"/>
        <w:ind w:left="732"/>
        <w:jc w:val="center"/>
        <w:rPr>
          <w:b/>
          <w:bCs/>
        </w:rPr>
      </w:pPr>
      <w:r w:rsidRPr="006265C3">
        <w:rPr>
          <w:b/>
          <w:bCs/>
        </w:rPr>
        <w:t>Table (4-4)</w:t>
      </w:r>
    </w:p>
    <w:p w:rsidR="006265C3" w:rsidRPr="006265C3" w:rsidRDefault="006265C3" w:rsidP="006265C3">
      <w:pPr>
        <w:pStyle w:val="ListParagraph"/>
        <w:ind w:left="732"/>
        <w:jc w:val="center"/>
        <w:rPr>
          <w:b/>
          <w:bCs/>
        </w:rPr>
      </w:pPr>
      <w:r w:rsidRPr="006265C3">
        <w:rPr>
          <w:b/>
          <w:bCs/>
        </w:rPr>
        <w:t>Profits and losses</w:t>
      </w:r>
    </w:p>
    <w:p w:rsidR="006265C3" w:rsidRPr="006265C3" w:rsidRDefault="006265C3" w:rsidP="006265C3">
      <w:pPr>
        <w:pStyle w:val="ListParagraph"/>
        <w:ind w:left="732"/>
        <w:jc w:val="right"/>
        <w:rPr>
          <w:b/>
          <w:bCs/>
        </w:rPr>
      </w:pPr>
      <w:r w:rsidRPr="006265C3">
        <w:rPr>
          <w:b/>
          <w:bCs/>
        </w:rPr>
        <w:t xml:space="preserve">EGP/ton </w:t>
      </w:r>
    </w:p>
    <w:tbl>
      <w:tblPr>
        <w:tblStyle w:val="TableGrid"/>
        <w:tblW w:w="0" w:type="auto"/>
        <w:tblInd w:w="732" w:type="dxa"/>
        <w:tblLook w:val="04A0" w:firstRow="1" w:lastRow="0" w:firstColumn="1" w:lastColumn="0" w:noHBand="0" w:noVBand="1"/>
      </w:tblPr>
      <w:tblGrid>
        <w:gridCol w:w="1474"/>
        <w:gridCol w:w="1474"/>
        <w:gridCol w:w="1474"/>
        <w:gridCol w:w="1474"/>
        <w:gridCol w:w="1474"/>
        <w:gridCol w:w="1474"/>
      </w:tblGrid>
      <w:tr w:rsidR="006265C3" w:rsidTr="006265C3">
        <w:tc>
          <w:tcPr>
            <w:tcW w:w="1474" w:type="dxa"/>
          </w:tcPr>
          <w:p w:rsidR="006265C3" w:rsidRPr="0064194E" w:rsidRDefault="006265C3" w:rsidP="00381F3A">
            <w:pPr>
              <w:pStyle w:val="ListParagraph"/>
              <w:ind w:left="0"/>
              <w:jc w:val="center"/>
              <w:rPr>
                <w:b/>
                <w:bCs/>
                <w:lang w:bidi="ar-EG"/>
              </w:rPr>
            </w:pPr>
            <w:r w:rsidRPr="0064194E">
              <w:rPr>
                <w:b/>
                <w:bCs/>
                <w:lang w:bidi="ar-EG"/>
              </w:rPr>
              <w:t>Description</w:t>
            </w:r>
          </w:p>
        </w:tc>
        <w:tc>
          <w:tcPr>
            <w:tcW w:w="1474" w:type="dxa"/>
          </w:tcPr>
          <w:p w:rsidR="006265C3" w:rsidRPr="0064194E" w:rsidRDefault="006265C3" w:rsidP="00381F3A">
            <w:pPr>
              <w:pStyle w:val="ListParagraph"/>
              <w:ind w:left="0"/>
              <w:jc w:val="center"/>
              <w:rPr>
                <w:b/>
                <w:bCs/>
                <w:lang w:bidi="ar-EG"/>
              </w:rPr>
            </w:pPr>
            <w:r w:rsidRPr="0064194E">
              <w:rPr>
                <w:b/>
                <w:bCs/>
                <w:lang w:bidi="ar-EG"/>
              </w:rPr>
              <w:t>2016/2017</w:t>
            </w:r>
          </w:p>
        </w:tc>
        <w:tc>
          <w:tcPr>
            <w:tcW w:w="1474" w:type="dxa"/>
          </w:tcPr>
          <w:p w:rsidR="006265C3" w:rsidRPr="0064194E" w:rsidRDefault="006265C3" w:rsidP="00381F3A">
            <w:pPr>
              <w:pStyle w:val="ListParagraph"/>
              <w:ind w:left="0"/>
              <w:jc w:val="center"/>
              <w:rPr>
                <w:b/>
                <w:bCs/>
                <w:lang w:bidi="ar-EG"/>
              </w:rPr>
            </w:pPr>
            <w:r w:rsidRPr="0064194E">
              <w:rPr>
                <w:b/>
                <w:bCs/>
                <w:lang w:bidi="ar-EG"/>
              </w:rPr>
              <w:t>2017/2018</w:t>
            </w:r>
          </w:p>
        </w:tc>
        <w:tc>
          <w:tcPr>
            <w:tcW w:w="1474" w:type="dxa"/>
          </w:tcPr>
          <w:p w:rsidR="006265C3" w:rsidRPr="0064194E" w:rsidRDefault="006265C3" w:rsidP="00381F3A">
            <w:pPr>
              <w:pStyle w:val="ListParagraph"/>
              <w:ind w:left="0"/>
              <w:jc w:val="center"/>
              <w:rPr>
                <w:b/>
                <w:bCs/>
                <w:lang w:bidi="ar-EG"/>
              </w:rPr>
            </w:pPr>
            <w:r w:rsidRPr="0064194E">
              <w:rPr>
                <w:b/>
                <w:bCs/>
                <w:lang w:bidi="ar-EG"/>
              </w:rPr>
              <w:t>2018/2019</w:t>
            </w:r>
          </w:p>
        </w:tc>
        <w:tc>
          <w:tcPr>
            <w:tcW w:w="1474" w:type="dxa"/>
          </w:tcPr>
          <w:p w:rsidR="006265C3" w:rsidRPr="0064194E" w:rsidRDefault="006265C3" w:rsidP="00381F3A">
            <w:pPr>
              <w:pStyle w:val="ListParagraph"/>
              <w:ind w:left="0"/>
              <w:jc w:val="center"/>
              <w:rPr>
                <w:b/>
                <w:bCs/>
                <w:lang w:bidi="ar-EG"/>
              </w:rPr>
            </w:pPr>
            <w:r w:rsidRPr="0064194E">
              <w:rPr>
                <w:b/>
                <w:bCs/>
                <w:lang w:bidi="ar-EG"/>
              </w:rPr>
              <w:t>First half</w:t>
            </w:r>
          </w:p>
          <w:p w:rsidR="006265C3" w:rsidRPr="0064194E" w:rsidRDefault="006265C3" w:rsidP="00381F3A">
            <w:pPr>
              <w:pStyle w:val="ListParagraph"/>
              <w:ind w:left="0"/>
              <w:jc w:val="center"/>
              <w:rPr>
                <w:b/>
                <w:bCs/>
                <w:lang w:bidi="ar-EG"/>
              </w:rPr>
            </w:pPr>
            <w:r w:rsidRPr="0064194E">
              <w:rPr>
                <w:b/>
                <w:bCs/>
                <w:lang w:bidi="ar-EG"/>
              </w:rPr>
              <w:t>2016/2017</w:t>
            </w:r>
          </w:p>
        </w:tc>
        <w:tc>
          <w:tcPr>
            <w:tcW w:w="1474" w:type="dxa"/>
          </w:tcPr>
          <w:p w:rsidR="006265C3" w:rsidRPr="0064194E" w:rsidRDefault="006265C3" w:rsidP="00381F3A">
            <w:pPr>
              <w:pStyle w:val="ListParagraph"/>
              <w:ind w:left="0"/>
              <w:jc w:val="center"/>
              <w:rPr>
                <w:b/>
                <w:bCs/>
                <w:lang w:bidi="ar-EG"/>
              </w:rPr>
            </w:pPr>
            <w:r w:rsidRPr="0064194E">
              <w:rPr>
                <w:b/>
                <w:bCs/>
                <w:lang w:bidi="ar-EG"/>
              </w:rPr>
              <w:t>First half</w:t>
            </w:r>
          </w:p>
          <w:p w:rsidR="006265C3" w:rsidRPr="0064194E" w:rsidRDefault="006265C3" w:rsidP="00381F3A">
            <w:pPr>
              <w:pStyle w:val="ListParagraph"/>
              <w:ind w:left="0"/>
              <w:jc w:val="center"/>
              <w:rPr>
                <w:b/>
                <w:bCs/>
                <w:lang w:bidi="ar-EG"/>
              </w:rPr>
            </w:pPr>
            <w:r w:rsidRPr="0064194E">
              <w:rPr>
                <w:b/>
                <w:bCs/>
                <w:lang w:bidi="ar-EG"/>
              </w:rPr>
              <w:t>2019/2020</w:t>
            </w:r>
          </w:p>
        </w:tc>
      </w:tr>
      <w:tr w:rsidR="006265C3" w:rsidTr="006265C3">
        <w:tc>
          <w:tcPr>
            <w:tcW w:w="1474" w:type="dxa"/>
          </w:tcPr>
          <w:p w:rsidR="006265C3" w:rsidRDefault="006265C3" w:rsidP="006265C3">
            <w:pPr>
              <w:pStyle w:val="ListParagraph"/>
              <w:ind w:left="0"/>
              <w:jc w:val="center"/>
            </w:pPr>
            <w:r>
              <w:t>Profit/loss</w:t>
            </w:r>
          </w:p>
        </w:tc>
        <w:tc>
          <w:tcPr>
            <w:tcW w:w="1474" w:type="dxa"/>
          </w:tcPr>
          <w:p w:rsidR="006265C3" w:rsidRDefault="006265C3" w:rsidP="006265C3">
            <w:pPr>
              <w:pStyle w:val="ListParagraph"/>
              <w:ind w:left="0"/>
              <w:jc w:val="center"/>
            </w:pPr>
            <w:r>
              <w:t>-</w:t>
            </w:r>
          </w:p>
        </w:tc>
        <w:tc>
          <w:tcPr>
            <w:tcW w:w="1474" w:type="dxa"/>
          </w:tcPr>
          <w:p w:rsidR="006265C3" w:rsidRDefault="006265C3" w:rsidP="006265C3">
            <w:pPr>
              <w:pStyle w:val="ListParagraph"/>
              <w:ind w:left="0"/>
              <w:jc w:val="center"/>
            </w:pPr>
            <w:r>
              <w:t>-</w:t>
            </w:r>
          </w:p>
        </w:tc>
        <w:tc>
          <w:tcPr>
            <w:tcW w:w="1474" w:type="dxa"/>
          </w:tcPr>
          <w:p w:rsidR="006265C3" w:rsidRDefault="006265C3" w:rsidP="006265C3">
            <w:pPr>
              <w:pStyle w:val="ListParagraph"/>
              <w:ind w:left="0"/>
              <w:jc w:val="center"/>
            </w:pPr>
            <w:r>
              <w:t>-</w:t>
            </w:r>
          </w:p>
        </w:tc>
        <w:tc>
          <w:tcPr>
            <w:tcW w:w="1474" w:type="dxa"/>
          </w:tcPr>
          <w:p w:rsidR="006265C3" w:rsidRDefault="006265C3" w:rsidP="006265C3">
            <w:pPr>
              <w:pStyle w:val="ListParagraph"/>
              <w:ind w:left="0"/>
              <w:jc w:val="center"/>
            </w:pPr>
            <w:r>
              <w:t>-</w:t>
            </w:r>
          </w:p>
        </w:tc>
        <w:tc>
          <w:tcPr>
            <w:tcW w:w="1474" w:type="dxa"/>
          </w:tcPr>
          <w:p w:rsidR="006265C3" w:rsidRDefault="006265C3" w:rsidP="006265C3">
            <w:pPr>
              <w:pStyle w:val="ListParagraph"/>
              <w:ind w:left="0"/>
              <w:jc w:val="center"/>
            </w:pPr>
            <w:r>
              <w:t>-</w:t>
            </w:r>
          </w:p>
        </w:tc>
      </w:tr>
      <w:tr w:rsidR="006265C3" w:rsidTr="006265C3">
        <w:tc>
          <w:tcPr>
            <w:tcW w:w="1474" w:type="dxa"/>
          </w:tcPr>
          <w:p w:rsidR="006265C3" w:rsidRDefault="006265C3" w:rsidP="006265C3">
            <w:pPr>
              <w:pStyle w:val="ListParagraph"/>
              <w:ind w:left="0"/>
              <w:jc w:val="center"/>
            </w:pPr>
            <w:r>
              <w:lastRenderedPageBreak/>
              <w:t>Index</w:t>
            </w:r>
          </w:p>
        </w:tc>
        <w:tc>
          <w:tcPr>
            <w:tcW w:w="1474" w:type="dxa"/>
          </w:tcPr>
          <w:p w:rsidR="006265C3" w:rsidRDefault="006265C3" w:rsidP="006265C3">
            <w:pPr>
              <w:pStyle w:val="ListParagraph"/>
              <w:ind w:left="0"/>
              <w:jc w:val="center"/>
            </w:pPr>
            <w:r>
              <w:t>100%</w:t>
            </w:r>
          </w:p>
        </w:tc>
        <w:tc>
          <w:tcPr>
            <w:tcW w:w="1474" w:type="dxa"/>
          </w:tcPr>
          <w:p w:rsidR="006265C3" w:rsidRDefault="006265C3" w:rsidP="006265C3">
            <w:pPr>
              <w:pStyle w:val="ListParagraph"/>
              <w:ind w:left="0"/>
              <w:jc w:val="center"/>
            </w:pPr>
            <w:r>
              <w:t>124%</w:t>
            </w:r>
          </w:p>
        </w:tc>
        <w:tc>
          <w:tcPr>
            <w:tcW w:w="1474" w:type="dxa"/>
          </w:tcPr>
          <w:p w:rsidR="006265C3" w:rsidRDefault="006265C3" w:rsidP="006265C3">
            <w:pPr>
              <w:pStyle w:val="ListParagraph"/>
              <w:ind w:left="0"/>
              <w:jc w:val="center"/>
            </w:pPr>
            <w:r>
              <w:t>51%</w:t>
            </w:r>
          </w:p>
        </w:tc>
        <w:tc>
          <w:tcPr>
            <w:tcW w:w="1474" w:type="dxa"/>
          </w:tcPr>
          <w:p w:rsidR="006265C3" w:rsidRDefault="006265C3" w:rsidP="006265C3">
            <w:pPr>
              <w:pStyle w:val="ListParagraph"/>
              <w:ind w:left="0"/>
              <w:jc w:val="center"/>
            </w:pPr>
            <w:r>
              <w:t>100%</w:t>
            </w:r>
          </w:p>
        </w:tc>
        <w:tc>
          <w:tcPr>
            <w:tcW w:w="1474" w:type="dxa"/>
          </w:tcPr>
          <w:p w:rsidR="006265C3" w:rsidRDefault="006265C3" w:rsidP="006265C3">
            <w:pPr>
              <w:pStyle w:val="ListParagraph"/>
              <w:ind w:left="0"/>
              <w:jc w:val="center"/>
            </w:pPr>
            <w:r>
              <w:t>-189%</w:t>
            </w:r>
          </w:p>
        </w:tc>
      </w:tr>
    </w:tbl>
    <w:p w:rsidR="00E43293" w:rsidRDefault="006265C3" w:rsidP="006265C3">
      <w:pPr>
        <w:pStyle w:val="ListParagraph"/>
        <w:numPr>
          <w:ilvl w:val="0"/>
          <w:numId w:val="8"/>
        </w:numPr>
        <w:jc w:val="both"/>
      </w:pPr>
      <w:r>
        <w:t xml:space="preserve">Comparison: basic year </w:t>
      </w:r>
    </w:p>
    <w:p w:rsidR="00FD0236" w:rsidRDefault="008C6312" w:rsidP="008C6312">
      <w:pPr>
        <w:pStyle w:val="ListParagraph"/>
        <w:numPr>
          <w:ilvl w:val="2"/>
          <w:numId w:val="4"/>
        </w:numPr>
        <w:jc w:val="both"/>
      </w:pPr>
      <w:r>
        <w:t>T</w:t>
      </w:r>
      <w:r w:rsidR="00FD0236">
        <w:t xml:space="preserve">he previous table shows that the local industry has </w:t>
      </w:r>
      <w:r w:rsidR="00E43293">
        <w:t>realized increased profits at 24% in 2017/2018 in comparison to the previous year</w:t>
      </w:r>
      <w:r w:rsidR="006265C3">
        <w:t xml:space="preserve">, while profits dropped at 49% in 2018/2019 in comparison to 2016/2017 and in the first half of 2019/2020 industry profits turned into losses due to the continued inflow of imports in big </w:t>
      </w:r>
      <w:r>
        <w:t>amounts, an aspect that ensures</w:t>
      </w:r>
      <w:r w:rsidR="006265C3">
        <w:t xml:space="preserve"> </w:t>
      </w:r>
      <w:r w:rsidR="00DB7A99">
        <w:t xml:space="preserve">substantial injury to </w:t>
      </w:r>
      <w:r w:rsidR="006265C3">
        <w:t xml:space="preserve">the industry. </w:t>
      </w:r>
    </w:p>
    <w:p w:rsidR="00D777DF" w:rsidRPr="0041387E" w:rsidRDefault="00D777DF" w:rsidP="00D777DF">
      <w:pPr>
        <w:jc w:val="both"/>
        <w:rPr>
          <w:b/>
          <w:bCs/>
        </w:rPr>
      </w:pPr>
      <w:r w:rsidRPr="0041387E">
        <w:rPr>
          <w:b/>
          <w:bCs/>
        </w:rPr>
        <w:t xml:space="preserve">Finding </w:t>
      </w:r>
    </w:p>
    <w:p w:rsidR="00D777DF" w:rsidRDefault="00B2271E" w:rsidP="00DB7A99">
      <w:pPr>
        <w:pStyle w:val="ListParagraph"/>
        <w:numPr>
          <w:ilvl w:val="2"/>
          <w:numId w:val="4"/>
        </w:numPr>
        <w:jc w:val="both"/>
      </w:pPr>
      <w:r>
        <w:t>The</w:t>
      </w:r>
      <w:r w:rsidR="00D777DF">
        <w:t xml:space="preserve"> Investigating Authority found that there is drop in industry profits in 2018/2019 that turned into losses in the first half of 2018/2019. This synchronized with the substantial inc</w:t>
      </w:r>
      <w:r w:rsidR="0041387E">
        <w:t>rease of imports in that peri</w:t>
      </w:r>
      <w:r w:rsidR="00C54704">
        <w:t>od, an aspect that indicates</w:t>
      </w:r>
      <w:r w:rsidR="0041387E">
        <w:t xml:space="preserve"> </w:t>
      </w:r>
      <w:r w:rsidR="00DB7A99">
        <w:t xml:space="preserve">substantial injury to </w:t>
      </w:r>
      <w:r w:rsidR="0041387E">
        <w:t xml:space="preserve">the local industry. </w:t>
      </w:r>
    </w:p>
    <w:p w:rsidR="003F30F2" w:rsidRPr="00B2271E" w:rsidRDefault="00B2271E" w:rsidP="00B2271E">
      <w:pPr>
        <w:pStyle w:val="ListParagraph"/>
        <w:numPr>
          <w:ilvl w:val="1"/>
          <w:numId w:val="4"/>
        </w:numPr>
        <w:jc w:val="both"/>
        <w:rPr>
          <w:b/>
          <w:bCs/>
        </w:rPr>
      </w:pPr>
      <w:r>
        <w:rPr>
          <w:b/>
          <w:bCs/>
        </w:rPr>
        <w:t>F</w:t>
      </w:r>
      <w:r w:rsidRPr="00B2271E">
        <w:rPr>
          <w:b/>
          <w:bCs/>
        </w:rPr>
        <w:t xml:space="preserve">indings about substantial injury </w:t>
      </w:r>
    </w:p>
    <w:p w:rsidR="00B2271E" w:rsidRDefault="00CC70D2" w:rsidP="008C6312">
      <w:pPr>
        <w:pStyle w:val="ListParagraph"/>
        <w:numPr>
          <w:ilvl w:val="2"/>
          <w:numId w:val="4"/>
        </w:numPr>
        <w:jc w:val="both"/>
        <w:rPr>
          <w:lang w:bidi="ar-EG"/>
        </w:rPr>
      </w:pPr>
      <w:r>
        <w:t>A</w:t>
      </w:r>
      <w:r w:rsidR="004711DD">
        <w:t>ccording to the data stat</w:t>
      </w:r>
      <w:r w:rsidR="00B2271E">
        <w:t xml:space="preserve">ed in this report, it </w:t>
      </w:r>
      <w:proofErr w:type="gramStart"/>
      <w:r w:rsidR="00B2271E">
        <w:t>was found</w:t>
      </w:r>
      <w:proofErr w:type="gramEnd"/>
      <w:r w:rsidR="00B2271E">
        <w:t xml:space="preserve"> that there were unexpected developments that led to substantial absolute increase of imports in</w:t>
      </w:r>
      <w:r w:rsidR="00B2271E">
        <w:rPr>
          <w:lang w:bidi="ar-EG"/>
        </w:rPr>
        <w:t xml:space="preserve"> relation to production. Such increase was acco</w:t>
      </w:r>
      <w:r w:rsidR="008C6312">
        <w:rPr>
          <w:lang w:bidi="ar-EG"/>
        </w:rPr>
        <w:t>mpanied by substantial injury to</w:t>
      </w:r>
      <w:r w:rsidR="00B2271E">
        <w:rPr>
          <w:lang w:bidi="ar-EG"/>
        </w:rPr>
        <w:t xml:space="preserve"> the local industry over the period of injury analysis represented in the following:</w:t>
      </w:r>
    </w:p>
    <w:p w:rsidR="00B2271E" w:rsidRDefault="00B2271E" w:rsidP="00B2271E">
      <w:pPr>
        <w:pStyle w:val="ListParagraph"/>
        <w:numPr>
          <w:ilvl w:val="0"/>
          <w:numId w:val="7"/>
        </w:numPr>
        <w:jc w:val="both"/>
        <w:rPr>
          <w:lang w:bidi="ar-EG"/>
        </w:rPr>
      </w:pPr>
      <w:r>
        <w:rPr>
          <w:lang w:bidi="ar-EG"/>
        </w:rPr>
        <w:t>A drop in the volume of production.</w:t>
      </w:r>
    </w:p>
    <w:p w:rsidR="00B2271E" w:rsidRDefault="007762B6" w:rsidP="007762B6">
      <w:pPr>
        <w:pStyle w:val="ListParagraph"/>
        <w:numPr>
          <w:ilvl w:val="0"/>
          <w:numId w:val="7"/>
        </w:numPr>
        <w:jc w:val="both"/>
        <w:rPr>
          <w:lang w:bidi="ar-EG"/>
        </w:rPr>
      </w:pPr>
      <w:r>
        <w:rPr>
          <w:lang w:bidi="ar-EG"/>
        </w:rPr>
        <w:t xml:space="preserve">A sharp </w:t>
      </w:r>
      <w:r w:rsidR="00B2271E">
        <w:rPr>
          <w:lang w:bidi="ar-EG"/>
        </w:rPr>
        <w:t>drop in the volume of local sales and their market shares.</w:t>
      </w:r>
    </w:p>
    <w:p w:rsidR="00B2271E" w:rsidRDefault="00B2271E" w:rsidP="00B2271E">
      <w:pPr>
        <w:pStyle w:val="ListParagraph"/>
        <w:numPr>
          <w:ilvl w:val="0"/>
          <w:numId w:val="7"/>
        </w:numPr>
        <w:jc w:val="both"/>
        <w:rPr>
          <w:lang w:bidi="ar-EG"/>
        </w:rPr>
      </w:pPr>
      <w:r>
        <w:rPr>
          <w:lang w:bidi="ar-EG"/>
        </w:rPr>
        <w:t xml:space="preserve">A drop in </w:t>
      </w:r>
      <w:proofErr w:type="spellStart"/>
      <w:r>
        <w:rPr>
          <w:lang w:bidi="ar-EG"/>
        </w:rPr>
        <w:t>labour</w:t>
      </w:r>
      <w:proofErr w:type="spellEnd"/>
      <w:r>
        <w:rPr>
          <w:lang w:bidi="ar-EG"/>
        </w:rPr>
        <w:t>.</w:t>
      </w:r>
    </w:p>
    <w:p w:rsidR="00B2271E" w:rsidRDefault="00B2271E" w:rsidP="00B2271E">
      <w:pPr>
        <w:pStyle w:val="ListParagraph"/>
        <w:numPr>
          <w:ilvl w:val="0"/>
          <w:numId w:val="7"/>
        </w:numPr>
        <w:jc w:val="both"/>
        <w:rPr>
          <w:lang w:bidi="ar-EG"/>
        </w:rPr>
      </w:pPr>
      <w:r>
        <w:rPr>
          <w:lang w:bidi="ar-EG"/>
        </w:rPr>
        <w:t>A drop in the rate of utilizing the available capacity.</w:t>
      </w:r>
    </w:p>
    <w:p w:rsidR="00B2271E" w:rsidRDefault="00B2271E" w:rsidP="00B2271E">
      <w:pPr>
        <w:pStyle w:val="ListParagraph"/>
        <w:numPr>
          <w:ilvl w:val="0"/>
          <w:numId w:val="7"/>
        </w:numPr>
        <w:jc w:val="both"/>
        <w:rPr>
          <w:lang w:bidi="ar-EG"/>
        </w:rPr>
      </w:pPr>
      <w:r>
        <w:rPr>
          <w:lang w:bidi="ar-EG"/>
        </w:rPr>
        <w:t xml:space="preserve">Profits of the local industry turned into losses. </w:t>
      </w:r>
    </w:p>
    <w:p w:rsidR="00CC70D2" w:rsidRPr="00D16D92" w:rsidRDefault="00CC70D2" w:rsidP="00D16D92">
      <w:pPr>
        <w:pStyle w:val="ListParagraph"/>
        <w:numPr>
          <w:ilvl w:val="1"/>
          <w:numId w:val="4"/>
        </w:numPr>
        <w:jc w:val="both"/>
        <w:rPr>
          <w:b/>
          <w:bCs/>
          <w:lang w:bidi="ar-EG"/>
        </w:rPr>
      </w:pPr>
      <w:r w:rsidRPr="00D16D92">
        <w:rPr>
          <w:b/>
          <w:bCs/>
          <w:lang w:bidi="ar-EG"/>
        </w:rPr>
        <w:t>Other reasons of injury</w:t>
      </w:r>
    </w:p>
    <w:p w:rsidR="00CC70D2" w:rsidRDefault="00CC70D2" w:rsidP="002E7576">
      <w:pPr>
        <w:pStyle w:val="ListParagraph"/>
        <w:numPr>
          <w:ilvl w:val="2"/>
          <w:numId w:val="4"/>
        </w:numPr>
        <w:jc w:val="both"/>
        <w:rPr>
          <w:lang w:bidi="ar-EG"/>
        </w:rPr>
      </w:pPr>
      <w:r>
        <w:rPr>
          <w:lang w:bidi="ar-EG"/>
        </w:rPr>
        <w:t>In accord</w:t>
      </w:r>
      <w:r w:rsidR="00C033C1">
        <w:rPr>
          <w:lang w:bidi="ar-EG"/>
        </w:rPr>
        <w:t>ance to provisions of article (4</w:t>
      </w:r>
      <w:r>
        <w:rPr>
          <w:lang w:bidi="ar-EG"/>
        </w:rPr>
        <w:t>-</w:t>
      </w:r>
      <w:r w:rsidR="00C033C1">
        <w:rPr>
          <w:lang w:bidi="ar-EG"/>
        </w:rPr>
        <w:t>2</w:t>
      </w:r>
      <w:r>
        <w:rPr>
          <w:lang w:bidi="ar-EG"/>
        </w:rPr>
        <w:t>)</w:t>
      </w:r>
      <w:r w:rsidR="00D16D92">
        <w:rPr>
          <w:rStyle w:val="FootnoteReference"/>
          <w:lang w:bidi="ar-EG"/>
        </w:rPr>
        <w:footnoteReference w:id="12"/>
      </w:r>
      <w:r w:rsidR="002E7576">
        <w:rPr>
          <w:lang w:bidi="ar-EG"/>
        </w:rPr>
        <w:t>, paragraph B of the Safeguard A</w:t>
      </w:r>
      <w:r>
        <w:rPr>
          <w:lang w:bidi="ar-EG"/>
        </w:rPr>
        <w:t xml:space="preserve">greement, the Investigation Authority has reviewed the other </w:t>
      </w:r>
      <w:r w:rsidR="002E7576">
        <w:rPr>
          <w:lang w:bidi="ar-EG"/>
        </w:rPr>
        <w:t xml:space="preserve">reasons that might have caused </w:t>
      </w:r>
      <w:r>
        <w:rPr>
          <w:lang w:bidi="ar-EG"/>
        </w:rPr>
        <w:t xml:space="preserve">injury </w:t>
      </w:r>
      <w:r w:rsidR="002E7576">
        <w:rPr>
          <w:lang w:bidi="ar-EG"/>
        </w:rPr>
        <w:t>to local industry</w:t>
      </w:r>
      <w:r>
        <w:rPr>
          <w:lang w:bidi="ar-EG"/>
        </w:rPr>
        <w:t xml:space="preserve"> than the increase of imports as follows: </w:t>
      </w:r>
    </w:p>
    <w:p w:rsidR="00CC70D2" w:rsidRPr="00D16D92" w:rsidRDefault="00CC70D2" w:rsidP="00CC70D2">
      <w:pPr>
        <w:pStyle w:val="ListParagraph"/>
        <w:numPr>
          <w:ilvl w:val="2"/>
          <w:numId w:val="4"/>
        </w:numPr>
        <w:jc w:val="both"/>
        <w:rPr>
          <w:b/>
          <w:bCs/>
          <w:lang w:bidi="ar-EG"/>
        </w:rPr>
      </w:pPr>
      <w:r w:rsidRPr="00D16D92">
        <w:rPr>
          <w:b/>
          <w:bCs/>
          <w:lang w:bidi="ar-EG"/>
        </w:rPr>
        <w:t>Shrinking demand</w:t>
      </w:r>
    </w:p>
    <w:p w:rsidR="00D16D92" w:rsidRDefault="00CC70D2" w:rsidP="004711DD">
      <w:pPr>
        <w:ind w:left="360"/>
        <w:jc w:val="both"/>
        <w:rPr>
          <w:lang w:bidi="ar-EG"/>
        </w:rPr>
      </w:pPr>
      <w:r>
        <w:rPr>
          <w:lang w:bidi="ar-EG"/>
        </w:rPr>
        <w:t xml:space="preserve">4-7-2-1 Table (4-1) shows the increase of local market </w:t>
      </w:r>
      <w:r w:rsidR="002E7576">
        <w:rPr>
          <w:lang w:bidi="ar-EG"/>
        </w:rPr>
        <w:t xml:space="preserve">volume </w:t>
      </w:r>
      <w:r>
        <w:rPr>
          <w:lang w:bidi="ar-EG"/>
        </w:rPr>
        <w:t xml:space="preserve">over 2017/2018 and 2018/2019 in comparison to the </w:t>
      </w:r>
      <w:r w:rsidR="004716FC">
        <w:rPr>
          <w:lang w:bidi="ar-EG"/>
        </w:rPr>
        <w:t xml:space="preserve">years </w:t>
      </w:r>
      <w:r>
        <w:rPr>
          <w:lang w:bidi="ar-EG"/>
        </w:rPr>
        <w:t xml:space="preserve">previous </w:t>
      </w:r>
      <w:r w:rsidR="004716FC">
        <w:rPr>
          <w:lang w:bidi="ar-EG"/>
        </w:rPr>
        <w:t>to</w:t>
      </w:r>
      <w:r>
        <w:rPr>
          <w:lang w:bidi="ar-EG"/>
        </w:rPr>
        <w:t xml:space="preserve"> each; in the first half of 2019/2020, demand shrank in </w:t>
      </w:r>
      <w:r w:rsidR="007D3E22">
        <w:rPr>
          <w:lang w:bidi="ar-EG"/>
        </w:rPr>
        <w:t>synchronization with</w:t>
      </w:r>
      <w:r>
        <w:rPr>
          <w:lang w:bidi="ar-EG"/>
        </w:rPr>
        <w:t xml:space="preserve"> a sharp drop of the local industry sales that led to a drop in the market volume. In return, this indicates that the drop of demand was not the main effective reason as imports continued to overwhelm an increasing share of the local market at the expense of </w:t>
      </w:r>
      <w:r w:rsidR="00D16D92">
        <w:rPr>
          <w:lang w:bidi="ar-EG"/>
        </w:rPr>
        <w:t xml:space="preserve">industry sales </w:t>
      </w:r>
      <w:r>
        <w:rPr>
          <w:lang w:bidi="ar-EG"/>
        </w:rPr>
        <w:t>despite such drop</w:t>
      </w:r>
      <w:r w:rsidR="00D16D92">
        <w:rPr>
          <w:lang w:bidi="ar-EG"/>
        </w:rPr>
        <w:t xml:space="preserve">, an aspect that </w:t>
      </w:r>
      <w:r w:rsidR="004711DD">
        <w:rPr>
          <w:lang w:bidi="ar-EG"/>
        </w:rPr>
        <w:t>reflects the negative</w:t>
      </w:r>
      <w:r w:rsidR="00D16D92">
        <w:rPr>
          <w:lang w:bidi="ar-EG"/>
        </w:rPr>
        <w:t xml:space="preserve"> impact</w:t>
      </w:r>
      <w:r w:rsidR="004711DD">
        <w:rPr>
          <w:lang w:bidi="ar-EG"/>
        </w:rPr>
        <w:t xml:space="preserve"> of</w:t>
      </w:r>
      <w:r w:rsidR="00D16D92">
        <w:rPr>
          <w:lang w:bidi="ar-EG"/>
        </w:rPr>
        <w:t xml:space="preserve"> the increasing imports.</w:t>
      </w:r>
    </w:p>
    <w:p w:rsidR="00D16D92" w:rsidRPr="00D16D92" w:rsidRDefault="00D16D92" w:rsidP="00D16D92">
      <w:pPr>
        <w:pStyle w:val="ListParagraph"/>
        <w:numPr>
          <w:ilvl w:val="2"/>
          <w:numId w:val="4"/>
        </w:numPr>
        <w:jc w:val="both"/>
        <w:rPr>
          <w:b/>
          <w:bCs/>
          <w:lang w:bidi="ar-EG"/>
        </w:rPr>
      </w:pPr>
      <w:r w:rsidRPr="00D16D92">
        <w:rPr>
          <w:b/>
          <w:bCs/>
          <w:lang w:bidi="ar-EG"/>
        </w:rPr>
        <w:t>Restrictive trade practices</w:t>
      </w:r>
    </w:p>
    <w:p w:rsidR="00CC70D2" w:rsidRDefault="00D16D92" w:rsidP="00DB7A99">
      <w:pPr>
        <w:ind w:left="360"/>
        <w:jc w:val="both"/>
        <w:rPr>
          <w:lang w:bidi="ar-EG"/>
        </w:rPr>
      </w:pPr>
      <w:r>
        <w:rPr>
          <w:lang w:bidi="ar-EG"/>
        </w:rPr>
        <w:lastRenderedPageBreak/>
        <w:t xml:space="preserve">4-7-3-1 </w:t>
      </w:r>
      <w:proofErr w:type="gramStart"/>
      <w:r>
        <w:rPr>
          <w:lang w:bidi="ar-EG"/>
        </w:rPr>
        <w:t>There</w:t>
      </w:r>
      <w:proofErr w:type="gramEnd"/>
      <w:r>
        <w:rPr>
          <w:lang w:bidi="ar-EG"/>
        </w:rPr>
        <w:t xml:space="preserve"> were no restrictive trade practices over the concerned product during the period of injury analysis,</w:t>
      </w:r>
      <w:r w:rsidR="00191E54">
        <w:rPr>
          <w:lang w:bidi="ar-EG"/>
        </w:rPr>
        <w:t xml:space="preserve"> therefore, it did not cause</w:t>
      </w:r>
      <w:r>
        <w:rPr>
          <w:lang w:bidi="ar-EG"/>
        </w:rPr>
        <w:t xml:space="preserve"> </w:t>
      </w:r>
      <w:r w:rsidR="00DB7A99">
        <w:rPr>
          <w:lang w:bidi="ar-EG"/>
        </w:rPr>
        <w:t xml:space="preserve">injury to </w:t>
      </w:r>
      <w:r>
        <w:rPr>
          <w:lang w:bidi="ar-EG"/>
        </w:rPr>
        <w:t xml:space="preserve">the local industry. </w:t>
      </w:r>
      <w:r w:rsidR="00CC70D2">
        <w:rPr>
          <w:lang w:bidi="ar-EG"/>
        </w:rPr>
        <w:t xml:space="preserve">   </w:t>
      </w:r>
    </w:p>
    <w:p w:rsidR="00511796" w:rsidRPr="004716FC" w:rsidRDefault="00511796" w:rsidP="00511796">
      <w:pPr>
        <w:pStyle w:val="ListParagraph"/>
        <w:numPr>
          <w:ilvl w:val="2"/>
          <w:numId w:val="4"/>
        </w:numPr>
        <w:jc w:val="both"/>
        <w:rPr>
          <w:b/>
          <w:bCs/>
          <w:lang w:bidi="ar-EG"/>
        </w:rPr>
      </w:pPr>
      <w:r w:rsidRPr="004716FC">
        <w:rPr>
          <w:b/>
          <w:bCs/>
          <w:lang w:bidi="ar-EG"/>
        </w:rPr>
        <w:t>Technological developments</w:t>
      </w:r>
    </w:p>
    <w:p w:rsidR="00511796" w:rsidRDefault="00511796" w:rsidP="00191E54">
      <w:pPr>
        <w:ind w:left="360"/>
        <w:jc w:val="both"/>
        <w:rPr>
          <w:lang w:bidi="ar-EG"/>
        </w:rPr>
      </w:pPr>
      <w:r>
        <w:rPr>
          <w:lang w:bidi="ar-EG"/>
        </w:rPr>
        <w:t>4-7-4-1 During the investigation visit, the Investigating Authority realized that the local industry uses</w:t>
      </w:r>
      <w:r w:rsidR="00972D43">
        <w:rPr>
          <w:lang w:bidi="ar-EG"/>
        </w:rPr>
        <w:t xml:space="preserve"> the</w:t>
      </w:r>
      <w:r w:rsidR="00191E54">
        <w:rPr>
          <w:lang w:bidi="ar-EG"/>
        </w:rPr>
        <w:t xml:space="preserve"> same</w:t>
      </w:r>
      <w:r w:rsidR="00972D43">
        <w:rPr>
          <w:lang w:bidi="ar-EG"/>
        </w:rPr>
        <w:t xml:space="preserve"> </w:t>
      </w:r>
      <w:r>
        <w:rPr>
          <w:lang w:bidi="ar-EG"/>
        </w:rPr>
        <w:t>state-of-</w:t>
      </w:r>
      <w:r w:rsidR="000075CA">
        <w:rPr>
          <w:lang w:bidi="ar-EG"/>
        </w:rPr>
        <w:t>the-</w:t>
      </w:r>
      <w:r>
        <w:rPr>
          <w:lang w:bidi="ar-EG"/>
        </w:rPr>
        <w:t>art technology used in producing the concerned product. Therefore, the Investigating Authority realized that technologic</w:t>
      </w:r>
      <w:r w:rsidR="00191E54">
        <w:rPr>
          <w:lang w:bidi="ar-EG"/>
        </w:rPr>
        <w:t>al development did not cause</w:t>
      </w:r>
      <w:r>
        <w:rPr>
          <w:lang w:bidi="ar-EG"/>
        </w:rPr>
        <w:t xml:space="preserve"> substantial injury t</w:t>
      </w:r>
      <w:r w:rsidR="00DB7A99">
        <w:rPr>
          <w:lang w:bidi="ar-EG"/>
        </w:rPr>
        <w:t xml:space="preserve">o </w:t>
      </w:r>
      <w:r w:rsidR="00191E54">
        <w:rPr>
          <w:lang w:bidi="ar-EG"/>
        </w:rPr>
        <w:t xml:space="preserve">the </w:t>
      </w:r>
      <w:r>
        <w:rPr>
          <w:lang w:bidi="ar-EG"/>
        </w:rPr>
        <w:t xml:space="preserve">local industry. </w:t>
      </w:r>
    </w:p>
    <w:p w:rsidR="00511796" w:rsidRPr="00B92B85" w:rsidRDefault="00511796" w:rsidP="00511796">
      <w:pPr>
        <w:pStyle w:val="ListParagraph"/>
        <w:numPr>
          <w:ilvl w:val="2"/>
          <w:numId w:val="4"/>
        </w:numPr>
        <w:jc w:val="both"/>
        <w:rPr>
          <w:b/>
          <w:bCs/>
          <w:lang w:bidi="ar-EG"/>
        </w:rPr>
      </w:pPr>
      <w:r w:rsidRPr="00B92B85">
        <w:rPr>
          <w:b/>
          <w:bCs/>
          <w:lang w:bidi="ar-EG"/>
        </w:rPr>
        <w:t xml:space="preserve">Development of exportation performance </w:t>
      </w:r>
    </w:p>
    <w:p w:rsidR="00511796" w:rsidRPr="00511796" w:rsidRDefault="00511796" w:rsidP="00511796">
      <w:pPr>
        <w:pStyle w:val="ListParagraph"/>
        <w:ind w:left="1080"/>
        <w:jc w:val="center"/>
        <w:rPr>
          <w:b/>
          <w:bCs/>
          <w:lang w:bidi="ar-EG"/>
        </w:rPr>
      </w:pPr>
      <w:r w:rsidRPr="00511796">
        <w:rPr>
          <w:b/>
          <w:bCs/>
          <w:lang w:bidi="ar-EG"/>
        </w:rPr>
        <w:t>Table (4-5)</w:t>
      </w:r>
    </w:p>
    <w:p w:rsidR="00511796" w:rsidRDefault="00511796" w:rsidP="00511796">
      <w:pPr>
        <w:pStyle w:val="ListParagraph"/>
        <w:ind w:left="1080"/>
        <w:jc w:val="center"/>
        <w:rPr>
          <w:b/>
          <w:bCs/>
          <w:lang w:bidi="ar-EG"/>
        </w:rPr>
      </w:pPr>
      <w:r w:rsidRPr="00511796">
        <w:rPr>
          <w:b/>
          <w:bCs/>
          <w:lang w:bidi="ar-EG"/>
        </w:rPr>
        <w:t>Exportation sales</w:t>
      </w:r>
    </w:p>
    <w:p w:rsidR="00511796" w:rsidRPr="00511796" w:rsidRDefault="00511796" w:rsidP="00511796">
      <w:pPr>
        <w:pStyle w:val="ListParagraph"/>
        <w:ind w:left="1080"/>
        <w:jc w:val="right"/>
        <w:rPr>
          <w:b/>
          <w:bCs/>
          <w:lang w:bidi="ar-EG"/>
        </w:rPr>
      </w:pPr>
      <w:r>
        <w:rPr>
          <w:b/>
          <w:bCs/>
          <w:lang w:bidi="ar-EG"/>
        </w:rPr>
        <w:t>(</w:t>
      </w:r>
      <w:r w:rsidR="00B92B85">
        <w:rPr>
          <w:b/>
          <w:bCs/>
          <w:lang w:bidi="ar-EG"/>
        </w:rPr>
        <w:t>Amount</w:t>
      </w:r>
      <w:r>
        <w:rPr>
          <w:b/>
          <w:bCs/>
          <w:lang w:bidi="ar-EG"/>
        </w:rPr>
        <w:t>: ton)</w:t>
      </w:r>
    </w:p>
    <w:tbl>
      <w:tblPr>
        <w:tblStyle w:val="TableGrid"/>
        <w:tblW w:w="0" w:type="auto"/>
        <w:tblInd w:w="732" w:type="dxa"/>
        <w:tblLook w:val="04A0" w:firstRow="1" w:lastRow="0" w:firstColumn="1" w:lastColumn="0" w:noHBand="0" w:noVBand="1"/>
      </w:tblPr>
      <w:tblGrid>
        <w:gridCol w:w="1474"/>
        <w:gridCol w:w="1474"/>
        <w:gridCol w:w="1474"/>
        <w:gridCol w:w="1474"/>
        <w:gridCol w:w="1474"/>
        <w:gridCol w:w="1474"/>
      </w:tblGrid>
      <w:tr w:rsidR="00511796" w:rsidRPr="0064194E" w:rsidTr="00381F3A">
        <w:tc>
          <w:tcPr>
            <w:tcW w:w="1474" w:type="dxa"/>
          </w:tcPr>
          <w:p w:rsidR="00511796" w:rsidRPr="0064194E" w:rsidRDefault="00511796" w:rsidP="00381F3A">
            <w:pPr>
              <w:pStyle w:val="ListParagraph"/>
              <w:ind w:left="0"/>
              <w:jc w:val="center"/>
              <w:rPr>
                <w:b/>
                <w:bCs/>
                <w:lang w:bidi="ar-EG"/>
              </w:rPr>
            </w:pPr>
            <w:r w:rsidRPr="0064194E">
              <w:rPr>
                <w:b/>
                <w:bCs/>
                <w:lang w:bidi="ar-EG"/>
              </w:rPr>
              <w:t>Description</w:t>
            </w:r>
          </w:p>
        </w:tc>
        <w:tc>
          <w:tcPr>
            <w:tcW w:w="1474" w:type="dxa"/>
          </w:tcPr>
          <w:p w:rsidR="00511796" w:rsidRPr="0064194E" w:rsidRDefault="00511796" w:rsidP="00381F3A">
            <w:pPr>
              <w:pStyle w:val="ListParagraph"/>
              <w:ind w:left="0"/>
              <w:jc w:val="center"/>
              <w:rPr>
                <w:b/>
                <w:bCs/>
                <w:lang w:bidi="ar-EG"/>
              </w:rPr>
            </w:pPr>
            <w:r w:rsidRPr="0064194E">
              <w:rPr>
                <w:b/>
                <w:bCs/>
                <w:lang w:bidi="ar-EG"/>
              </w:rPr>
              <w:t>2016/2017</w:t>
            </w:r>
          </w:p>
        </w:tc>
        <w:tc>
          <w:tcPr>
            <w:tcW w:w="1474" w:type="dxa"/>
          </w:tcPr>
          <w:p w:rsidR="00511796" w:rsidRPr="0064194E" w:rsidRDefault="00511796" w:rsidP="00381F3A">
            <w:pPr>
              <w:pStyle w:val="ListParagraph"/>
              <w:ind w:left="0"/>
              <w:jc w:val="center"/>
              <w:rPr>
                <w:b/>
                <w:bCs/>
                <w:lang w:bidi="ar-EG"/>
              </w:rPr>
            </w:pPr>
            <w:r w:rsidRPr="0064194E">
              <w:rPr>
                <w:b/>
                <w:bCs/>
                <w:lang w:bidi="ar-EG"/>
              </w:rPr>
              <w:t>2017/2018</w:t>
            </w:r>
          </w:p>
        </w:tc>
        <w:tc>
          <w:tcPr>
            <w:tcW w:w="1474" w:type="dxa"/>
          </w:tcPr>
          <w:p w:rsidR="00511796" w:rsidRPr="0064194E" w:rsidRDefault="00511796" w:rsidP="00381F3A">
            <w:pPr>
              <w:pStyle w:val="ListParagraph"/>
              <w:ind w:left="0"/>
              <w:jc w:val="center"/>
              <w:rPr>
                <w:b/>
                <w:bCs/>
                <w:lang w:bidi="ar-EG"/>
              </w:rPr>
            </w:pPr>
            <w:r w:rsidRPr="0064194E">
              <w:rPr>
                <w:b/>
                <w:bCs/>
                <w:lang w:bidi="ar-EG"/>
              </w:rPr>
              <w:t>2018/2019</w:t>
            </w:r>
          </w:p>
        </w:tc>
        <w:tc>
          <w:tcPr>
            <w:tcW w:w="1474" w:type="dxa"/>
          </w:tcPr>
          <w:p w:rsidR="00511796" w:rsidRPr="0064194E" w:rsidRDefault="00511796" w:rsidP="00381F3A">
            <w:pPr>
              <w:pStyle w:val="ListParagraph"/>
              <w:ind w:left="0"/>
              <w:jc w:val="center"/>
              <w:rPr>
                <w:b/>
                <w:bCs/>
                <w:lang w:bidi="ar-EG"/>
              </w:rPr>
            </w:pPr>
            <w:r w:rsidRPr="0064194E">
              <w:rPr>
                <w:b/>
                <w:bCs/>
                <w:lang w:bidi="ar-EG"/>
              </w:rPr>
              <w:t>First half</w:t>
            </w:r>
          </w:p>
          <w:p w:rsidR="00511796" w:rsidRPr="0064194E" w:rsidRDefault="00511796" w:rsidP="00381F3A">
            <w:pPr>
              <w:pStyle w:val="ListParagraph"/>
              <w:ind w:left="0"/>
              <w:jc w:val="center"/>
              <w:rPr>
                <w:b/>
                <w:bCs/>
                <w:lang w:bidi="ar-EG"/>
              </w:rPr>
            </w:pPr>
            <w:r w:rsidRPr="0064194E">
              <w:rPr>
                <w:b/>
                <w:bCs/>
                <w:lang w:bidi="ar-EG"/>
              </w:rPr>
              <w:t>2016/2017</w:t>
            </w:r>
          </w:p>
        </w:tc>
        <w:tc>
          <w:tcPr>
            <w:tcW w:w="1474" w:type="dxa"/>
          </w:tcPr>
          <w:p w:rsidR="00511796" w:rsidRPr="0064194E" w:rsidRDefault="00511796" w:rsidP="00381F3A">
            <w:pPr>
              <w:pStyle w:val="ListParagraph"/>
              <w:ind w:left="0"/>
              <w:jc w:val="center"/>
              <w:rPr>
                <w:b/>
                <w:bCs/>
                <w:lang w:bidi="ar-EG"/>
              </w:rPr>
            </w:pPr>
            <w:r w:rsidRPr="0064194E">
              <w:rPr>
                <w:b/>
                <w:bCs/>
                <w:lang w:bidi="ar-EG"/>
              </w:rPr>
              <w:t>First half</w:t>
            </w:r>
          </w:p>
          <w:p w:rsidR="00511796" w:rsidRPr="0064194E" w:rsidRDefault="00511796" w:rsidP="00381F3A">
            <w:pPr>
              <w:pStyle w:val="ListParagraph"/>
              <w:ind w:left="0"/>
              <w:jc w:val="center"/>
              <w:rPr>
                <w:b/>
                <w:bCs/>
                <w:lang w:bidi="ar-EG"/>
              </w:rPr>
            </w:pPr>
            <w:r w:rsidRPr="0064194E">
              <w:rPr>
                <w:b/>
                <w:bCs/>
                <w:lang w:bidi="ar-EG"/>
              </w:rPr>
              <w:t>2019/2020</w:t>
            </w:r>
          </w:p>
        </w:tc>
      </w:tr>
      <w:tr w:rsidR="00511796" w:rsidTr="00381F3A">
        <w:tc>
          <w:tcPr>
            <w:tcW w:w="1474" w:type="dxa"/>
          </w:tcPr>
          <w:p w:rsidR="00511796" w:rsidRDefault="00511796" w:rsidP="00A42133">
            <w:pPr>
              <w:jc w:val="center"/>
              <w:rPr>
                <w:lang w:bidi="ar-EG"/>
              </w:rPr>
            </w:pPr>
            <w:r>
              <w:rPr>
                <w:lang w:bidi="ar-EG"/>
              </w:rPr>
              <w:t>Exportation sales</w:t>
            </w:r>
          </w:p>
          <w:p w:rsidR="00511796" w:rsidRDefault="00511796" w:rsidP="00381F3A">
            <w:pPr>
              <w:pStyle w:val="ListParagraph"/>
              <w:ind w:left="0"/>
              <w:jc w:val="center"/>
            </w:pPr>
          </w:p>
        </w:tc>
        <w:tc>
          <w:tcPr>
            <w:tcW w:w="1474" w:type="dxa"/>
          </w:tcPr>
          <w:p w:rsidR="00511796" w:rsidRDefault="00511796" w:rsidP="00381F3A">
            <w:pPr>
              <w:pStyle w:val="ListParagraph"/>
              <w:ind w:left="0"/>
              <w:jc w:val="center"/>
            </w:pPr>
            <w:r>
              <w:t>-</w:t>
            </w:r>
          </w:p>
        </w:tc>
        <w:tc>
          <w:tcPr>
            <w:tcW w:w="1474" w:type="dxa"/>
          </w:tcPr>
          <w:p w:rsidR="00511796" w:rsidRDefault="00511796" w:rsidP="00381F3A">
            <w:pPr>
              <w:pStyle w:val="ListParagraph"/>
              <w:ind w:left="0"/>
              <w:jc w:val="center"/>
            </w:pPr>
            <w:r>
              <w:t>-</w:t>
            </w:r>
          </w:p>
        </w:tc>
        <w:tc>
          <w:tcPr>
            <w:tcW w:w="1474" w:type="dxa"/>
          </w:tcPr>
          <w:p w:rsidR="00511796" w:rsidRDefault="00511796" w:rsidP="00381F3A">
            <w:pPr>
              <w:pStyle w:val="ListParagraph"/>
              <w:ind w:left="0"/>
              <w:jc w:val="center"/>
            </w:pPr>
            <w:r>
              <w:t>-</w:t>
            </w:r>
          </w:p>
        </w:tc>
        <w:tc>
          <w:tcPr>
            <w:tcW w:w="1474" w:type="dxa"/>
          </w:tcPr>
          <w:p w:rsidR="00511796" w:rsidRDefault="00511796" w:rsidP="00381F3A">
            <w:pPr>
              <w:pStyle w:val="ListParagraph"/>
              <w:ind w:left="0"/>
              <w:jc w:val="center"/>
            </w:pPr>
            <w:r>
              <w:t>-</w:t>
            </w:r>
          </w:p>
        </w:tc>
        <w:tc>
          <w:tcPr>
            <w:tcW w:w="1474" w:type="dxa"/>
          </w:tcPr>
          <w:p w:rsidR="00511796" w:rsidRDefault="00511796" w:rsidP="00381F3A">
            <w:pPr>
              <w:pStyle w:val="ListParagraph"/>
              <w:ind w:left="0"/>
              <w:jc w:val="center"/>
            </w:pPr>
            <w:r>
              <w:t>-</w:t>
            </w:r>
          </w:p>
        </w:tc>
      </w:tr>
      <w:tr w:rsidR="00511796" w:rsidTr="00381F3A">
        <w:tc>
          <w:tcPr>
            <w:tcW w:w="1474" w:type="dxa"/>
          </w:tcPr>
          <w:p w:rsidR="00511796" w:rsidRDefault="00511796" w:rsidP="00381F3A">
            <w:pPr>
              <w:pStyle w:val="ListParagraph"/>
              <w:ind w:left="0"/>
              <w:jc w:val="center"/>
            </w:pPr>
            <w:r>
              <w:t>Index</w:t>
            </w:r>
          </w:p>
        </w:tc>
        <w:tc>
          <w:tcPr>
            <w:tcW w:w="1474" w:type="dxa"/>
          </w:tcPr>
          <w:p w:rsidR="00511796" w:rsidRDefault="00511796" w:rsidP="00381F3A">
            <w:pPr>
              <w:pStyle w:val="ListParagraph"/>
              <w:ind w:left="0"/>
              <w:jc w:val="center"/>
            </w:pPr>
            <w:r>
              <w:t>100%</w:t>
            </w:r>
          </w:p>
        </w:tc>
        <w:tc>
          <w:tcPr>
            <w:tcW w:w="1474" w:type="dxa"/>
          </w:tcPr>
          <w:p w:rsidR="00511796" w:rsidRDefault="00511796" w:rsidP="00381F3A">
            <w:pPr>
              <w:pStyle w:val="ListParagraph"/>
              <w:ind w:left="0"/>
              <w:jc w:val="center"/>
            </w:pPr>
            <w:r>
              <w:t>141%</w:t>
            </w:r>
          </w:p>
        </w:tc>
        <w:tc>
          <w:tcPr>
            <w:tcW w:w="1474" w:type="dxa"/>
          </w:tcPr>
          <w:p w:rsidR="00511796" w:rsidRDefault="00511796" w:rsidP="00381F3A">
            <w:pPr>
              <w:pStyle w:val="ListParagraph"/>
              <w:ind w:left="0"/>
              <w:jc w:val="center"/>
            </w:pPr>
            <w:r>
              <w:t>142%</w:t>
            </w:r>
          </w:p>
        </w:tc>
        <w:tc>
          <w:tcPr>
            <w:tcW w:w="1474" w:type="dxa"/>
          </w:tcPr>
          <w:p w:rsidR="00511796" w:rsidRDefault="00511796" w:rsidP="00381F3A">
            <w:pPr>
              <w:pStyle w:val="ListParagraph"/>
              <w:ind w:left="0"/>
              <w:jc w:val="center"/>
            </w:pPr>
            <w:r>
              <w:t>100%</w:t>
            </w:r>
          </w:p>
        </w:tc>
        <w:tc>
          <w:tcPr>
            <w:tcW w:w="1474" w:type="dxa"/>
          </w:tcPr>
          <w:p w:rsidR="00511796" w:rsidRDefault="00511796" w:rsidP="00381F3A">
            <w:pPr>
              <w:pStyle w:val="ListParagraph"/>
              <w:ind w:left="0"/>
              <w:jc w:val="center"/>
            </w:pPr>
            <w:r>
              <w:t>146%</w:t>
            </w:r>
          </w:p>
        </w:tc>
      </w:tr>
    </w:tbl>
    <w:p w:rsidR="00511796" w:rsidRDefault="00511796" w:rsidP="00511796">
      <w:pPr>
        <w:pStyle w:val="ListParagraph"/>
        <w:numPr>
          <w:ilvl w:val="0"/>
          <w:numId w:val="8"/>
        </w:numPr>
        <w:jc w:val="both"/>
        <w:rPr>
          <w:lang w:bidi="ar-EG"/>
        </w:rPr>
      </w:pPr>
      <w:r>
        <w:rPr>
          <w:lang w:bidi="ar-EG"/>
        </w:rPr>
        <w:t>Comparison: basic year</w:t>
      </w:r>
    </w:p>
    <w:p w:rsidR="00511796" w:rsidRDefault="00511796" w:rsidP="00A42133">
      <w:pPr>
        <w:jc w:val="both"/>
        <w:rPr>
          <w:lang w:bidi="ar-EG"/>
        </w:rPr>
      </w:pPr>
      <w:r>
        <w:rPr>
          <w:lang w:bidi="ar-EG"/>
        </w:rPr>
        <w:t>4-7-5-1 The table shows an increase of exportation sales over 2017/2018 and 2018/2019 at rates of 41% and 42%</w:t>
      </w:r>
      <w:r w:rsidR="00055DF0">
        <w:rPr>
          <w:lang w:bidi="ar-EG"/>
        </w:rPr>
        <w:t xml:space="preserve"> respectively in comparison to 2016/2017</w:t>
      </w:r>
      <w:r w:rsidR="00A42133">
        <w:rPr>
          <w:lang w:bidi="ar-EG"/>
        </w:rPr>
        <w:t>.</w:t>
      </w:r>
      <w:r w:rsidR="00055DF0">
        <w:rPr>
          <w:lang w:bidi="ar-EG"/>
        </w:rPr>
        <w:t xml:space="preserve"> </w:t>
      </w:r>
      <w:r w:rsidR="00A42133">
        <w:rPr>
          <w:lang w:bidi="ar-EG"/>
        </w:rPr>
        <w:t>In</w:t>
      </w:r>
      <w:r w:rsidR="00055DF0">
        <w:rPr>
          <w:lang w:bidi="ar-EG"/>
        </w:rPr>
        <w:t xml:space="preserve"> the first half of 2019/2020, exportation sales rose at a rate of 46% in comparison to the first half of 2016/2017, an aspect that indicates that exp</w:t>
      </w:r>
      <w:r w:rsidR="00A42133">
        <w:rPr>
          <w:lang w:bidi="ar-EG"/>
        </w:rPr>
        <w:t>ortation sales did not cause</w:t>
      </w:r>
      <w:r w:rsidR="00055DF0">
        <w:rPr>
          <w:lang w:bidi="ar-EG"/>
        </w:rPr>
        <w:t xml:space="preserve"> injury</w:t>
      </w:r>
      <w:r w:rsidR="00DB7A99">
        <w:rPr>
          <w:lang w:bidi="ar-EG"/>
        </w:rPr>
        <w:t xml:space="preserve"> to </w:t>
      </w:r>
      <w:r w:rsidR="00055DF0">
        <w:rPr>
          <w:lang w:bidi="ar-EG"/>
        </w:rPr>
        <w:t xml:space="preserve">the industry.  </w:t>
      </w:r>
    </w:p>
    <w:p w:rsidR="00055DF0" w:rsidRDefault="00055DF0" w:rsidP="00D32F72">
      <w:pPr>
        <w:jc w:val="both"/>
        <w:rPr>
          <w:lang w:bidi="ar-EG"/>
        </w:rPr>
      </w:pPr>
      <w:r>
        <w:rPr>
          <w:lang w:bidi="ar-EG"/>
        </w:rPr>
        <w:t xml:space="preserve">4-7-5-2 The Investigating Authority found that </w:t>
      </w:r>
      <w:r w:rsidR="00D32F72">
        <w:rPr>
          <w:lang w:bidi="ar-EG"/>
        </w:rPr>
        <w:t>the</w:t>
      </w:r>
      <w:r w:rsidR="00696376">
        <w:rPr>
          <w:lang w:bidi="ar-EG"/>
        </w:rPr>
        <w:t xml:space="preserve"> development of</w:t>
      </w:r>
      <w:r>
        <w:rPr>
          <w:lang w:bidi="ar-EG"/>
        </w:rPr>
        <w:t xml:space="preserve"> exportation performance i</w:t>
      </w:r>
      <w:r w:rsidR="00696376">
        <w:rPr>
          <w:lang w:bidi="ar-EG"/>
        </w:rPr>
        <w:t>s not considered a reason of</w:t>
      </w:r>
      <w:r>
        <w:rPr>
          <w:lang w:bidi="ar-EG"/>
        </w:rPr>
        <w:t xml:space="preserve"> substantial injury t</w:t>
      </w:r>
      <w:r w:rsidR="00DB7A99">
        <w:rPr>
          <w:lang w:bidi="ar-EG"/>
        </w:rPr>
        <w:t xml:space="preserve">o </w:t>
      </w:r>
      <w:r>
        <w:rPr>
          <w:lang w:bidi="ar-EG"/>
        </w:rPr>
        <w:t>the local industry.</w:t>
      </w:r>
    </w:p>
    <w:p w:rsidR="00055DF0" w:rsidRPr="00055DF0" w:rsidRDefault="00055DF0" w:rsidP="00055DF0">
      <w:pPr>
        <w:pStyle w:val="ListParagraph"/>
        <w:numPr>
          <w:ilvl w:val="2"/>
          <w:numId w:val="4"/>
        </w:numPr>
        <w:jc w:val="both"/>
        <w:rPr>
          <w:b/>
          <w:bCs/>
          <w:lang w:bidi="ar-EG"/>
        </w:rPr>
      </w:pPr>
      <w:r w:rsidRPr="00055DF0">
        <w:rPr>
          <w:b/>
          <w:bCs/>
          <w:lang w:bidi="ar-EG"/>
        </w:rPr>
        <w:t xml:space="preserve">Competition  </w:t>
      </w:r>
    </w:p>
    <w:p w:rsidR="00511796" w:rsidRDefault="00696376" w:rsidP="00DB7A99">
      <w:pPr>
        <w:jc w:val="both"/>
        <w:rPr>
          <w:lang w:bidi="ar-EG"/>
        </w:rPr>
      </w:pPr>
      <w:r>
        <w:rPr>
          <w:lang w:bidi="ar-EG"/>
        </w:rPr>
        <w:t>4-7-6-1 T</w:t>
      </w:r>
      <w:r w:rsidR="00055DF0">
        <w:rPr>
          <w:lang w:bidi="ar-EG"/>
        </w:rPr>
        <w:t>he Investigating Authority found that there is no domestic competition with any other local</w:t>
      </w:r>
      <w:r w:rsidR="00BF2567">
        <w:rPr>
          <w:lang w:bidi="ar-EG"/>
        </w:rPr>
        <w:t xml:space="preserve"> product that may have cause</w:t>
      </w:r>
      <w:r w:rsidR="00055DF0">
        <w:rPr>
          <w:lang w:bidi="ar-EG"/>
        </w:rPr>
        <w:t xml:space="preserve"> </w:t>
      </w:r>
      <w:r w:rsidR="00DB7A99">
        <w:rPr>
          <w:lang w:bidi="ar-EG"/>
        </w:rPr>
        <w:t xml:space="preserve">substantial injury to </w:t>
      </w:r>
      <w:r w:rsidR="00055DF0">
        <w:rPr>
          <w:lang w:bidi="ar-EG"/>
        </w:rPr>
        <w:t>the local industry. The complainant company is the only producer and the comp</w:t>
      </w:r>
      <w:r w:rsidR="00BF2567">
        <w:rPr>
          <w:lang w:bidi="ar-EG"/>
        </w:rPr>
        <w:t>etition that caused the injury wa</w:t>
      </w:r>
      <w:r w:rsidR="00055DF0">
        <w:rPr>
          <w:lang w:bidi="ar-EG"/>
        </w:rPr>
        <w:t xml:space="preserve">s the unfair competition with imports that increased substantially.  </w:t>
      </w:r>
    </w:p>
    <w:p w:rsidR="00E451A8" w:rsidRDefault="00055DF0" w:rsidP="00DB7A99">
      <w:pPr>
        <w:pStyle w:val="ListParagraph"/>
        <w:numPr>
          <w:ilvl w:val="2"/>
          <w:numId w:val="4"/>
        </w:numPr>
        <w:jc w:val="both"/>
        <w:rPr>
          <w:lang w:bidi="ar-EG"/>
        </w:rPr>
      </w:pPr>
      <w:r>
        <w:rPr>
          <w:lang w:bidi="ar-EG"/>
        </w:rPr>
        <w:t>One of the concerned parties claimed that the rise of energy prices is one of the main reasons of the injury t</w:t>
      </w:r>
      <w:r w:rsidR="00F84871">
        <w:rPr>
          <w:lang w:bidi="ar-EG"/>
        </w:rPr>
        <w:t>o</w:t>
      </w:r>
      <w:r>
        <w:rPr>
          <w:lang w:bidi="ar-EG"/>
        </w:rPr>
        <w:t xml:space="preserve"> local industry. </w:t>
      </w:r>
      <w:proofErr w:type="gramStart"/>
      <w:r>
        <w:rPr>
          <w:lang w:bidi="ar-EG"/>
        </w:rPr>
        <w:t xml:space="preserve">The Investigating Authority studied the impact of the rise of energy prices on the industry and found that this is not an effective factor in </w:t>
      </w:r>
      <w:r w:rsidR="00CC6F7C">
        <w:rPr>
          <w:lang w:bidi="ar-EG"/>
        </w:rPr>
        <w:t>the substantial injury to</w:t>
      </w:r>
      <w:r>
        <w:rPr>
          <w:lang w:bidi="ar-EG"/>
        </w:rPr>
        <w:t xml:space="preserve"> the industry; energy prices </w:t>
      </w:r>
      <w:r w:rsidR="00E451A8">
        <w:rPr>
          <w:lang w:bidi="ar-EG"/>
        </w:rPr>
        <w:t>dedicated to heavy industries, including the aluminum industry have been lowered as of the second half of 2019 while the industry kept on suffering the substantial injury, according to injury indicators, in the period subsequent</w:t>
      </w:r>
      <w:r w:rsidR="002A4F55">
        <w:rPr>
          <w:lang w:bidi="ar-EG"/>
        </w:rPr>
        <w:t xml:space="preserve"> to</w:t>
      </w:r>
      <w:r w:rsidR="00E451A8">
        <w:rPr>
          <w:lang w:bidi="ar-EG"/>
        </w:rPr>
        <w:t xml:space="preserve"> lowering prices in the first half of 2019/2020.</w:t>
      </w:r>
      <w:proofErr w:type="gramEnd"/>
    </w:p>
    <w:p w:rsidR="00E451A8" w:rsidRPr="00F84871" w:rsidRDefault="00E451A8" w:rsidP="00E451A8">
      <w:pPr>
        <w:jc w:val="both"/>
        <w:rPr>
          <w:b/>
          <w:bCs/>
          <w:lang w:bidi="ar-EG"/>
        </w:rPr>
      </w:pPr>
      <w:r w:rsidRPr="00F84871">
        <w:rPr>
          <w:b/>
          <w:bCs/>
          <w:lang w:bidi="ar-EG"/>
        </w:rPr>
        <w:lastRenderedPageBreak/>
        <w:t xml:space="preserve">Finding </w:t>
      </w:r>
    </w:p>
    <w:p w:rsidR="00E451A8" w:rsidRDefault="00E451A8" w:rsidP="00E451A8">
      <w:pPr>
        <w:pStyle w:val="ListParagraph"/>
        <w:numPr>
          <w:ilvl w:val="2"/>
          <w:numId w:val="4"/>
        </w:numPr>
        <w:jc w:val="both"/>
        <w:rPr>
          <w:lang w:bidi="ar-EG"/>
        </w:rPr>
      </w:pPr>
      <w:r>
        <w:rPr>
          <w:lang w:bidi="ar-EG"/>
        </w:rPr>
        <w:t>The Investigating Authority found that there were no other reasons that contributed to the substantial injury of the local industry other than the increase of imports.</w:t>
      </w:r>
    </w:p>
    <w:p w:rsidR="00CC6F7C" w:rsidRDefault="00CC6F7C" w:rsidP="00CC6F7C">
      <w:pPr>
        <w:pStyle w:val="ListParagraph"/>
        <w:ind w:left="1080"/>
        <w:jc w:val="both"/>
        <w:rPr>
          <w:lang w:bidi="ar-EG"/>
        </w:rPr>
      </w:pPr>
    </w:p>
    <w:p w:rsidR="00E451A8" w:rsidRPr="00E451A8" w:rsidRDefault="00E451A8" w:rsidP="00E451A8">
      <w:pPr>
        <w:pStyle w:val="ListParagraph"/>
        <w:numPr>
          <w:ilvl w:val="0"/>
          <w:numId w:val="4"/>
        </w:numPr>
        <w:jc w:val="both"/>
        <w:rPr>
          <w:b/>
          <w:bCs/>
          <w:lang w:bidi="ar-EG"/>
        </w:rPr>
      </w:pPr>
      <w:r w:rsidRPr="00E451A8">
        <w:rPr>
          <w:b/>
          <w:bCs/>
          <w:lang w:bidi="ar-EG"/>
        </w:rPr>
        <w:t xml:space="preserve">Causal link </w:t>
      </w:r>
    </w:p>
    <w:p w:rsidR="00E451A8" w:rsidRDefault="00E451A8" w:rsidP="006A295C">
      <w:pPr>
        <w:pStyle w:val="ListParagraph"/>
        <w:numPr>
          <w:ilvl w:val="1"/>
          <w:numId w:val="4"/>
        </w:numPr>
        <w:jc w:val="both"/>
        <w:rPr>
          <w:lang w:bidi="ar-EG"/>
        </w:rPr>
      </w:pPr>
      <w:r>
        <w:rPr>
          <w:lang w:bidi="ar-EG"/>
        </w:rPr>
        <w:t xml:space="preserve">The Investigating Authority studied the causal link between the increase of imports </w:t>
      </w:r>
      <w:r w:rsidR="006A295C">
        <w:rPr>
          <w:lang w:bidi="ar-EG"/>
        </w:rPr>
        <w:t>of the concerned product and</w:t>
      </w:r>
      <w:r>
        <w:rPr>
          <w:lang w:bidi="ar-EG"/>
        </w:rPr>
        <w:t xml:space="preserve"> substantial injury t</w:t>
      </w:r>
      <w:r w:rsidR="00DB7A99">
        <w:rPr>
          <w:lang w:bidi="ar-EG"/>
        </w:rPr>
        <w:t xml:space="preserve">o </w:t>
      </w:r>
      <w:r>
        <w:rPr>
          <w:lang w:bidi="ar-EG"/>
        </w:rPr>
        <w:t xml:space="preserve">the industry according to article 4-2, paragraph B, or the </w:t>
      </w:r>
      <w:r w:rsidR="006A295C">
        <w:rPr>
          <w:lang w:bidi="ar-EG"/>
        </w:rPr>
        <w:t>Safeguard A</w:t>
      </w:r>
      <w:r>
        <w:rPr>
          <w:lang w:bidi="ar-EG"/>
        </w:rPr>
        <w:t>greement.</w:t>
      </w:r>
    </w:p>
    <w:p w:rsidR="00DB7A99" w:rsidRDefault="00E451A8" w:rsidP="007167A4">
      <w:pPr>
        <w:pStyle w:val="ListParagraph"/>
        <w:numPr>
          <w:ilvl w:val="2"/>
          <w:numId w:val="4"/>
        </w:numPr>
        <w:jc w:val="both"/>
        <w:rPr>
          <w:lang w:bidi="ar-EG"/>
        </w:rPr>
      </w:pPr>
      <w:r>
        <w:rPr>
          <w:lang w:bidi="ar-EG"/>
        </w:rPr>
        <w:t>The Investigating Authority found that there has been substantial recent</w:t>
      </w:r>
      <w:r w:rsidR="00B55FC3">
        <w:rPr>
          <w:lang w:bidi="ar-EG"/>
        </w:rPr>
        <w:t>, acute,</w:t>
      </w:r>
      <w:r>
        <w:rPr>
          <w:lang w:bidi="ar-EG"/>
        </w:rPr>
        <w:t xml:space="preserve"> and sudden absolute increase of the imports of the concerned product over 2017/2018 and 2018/2019</w:t>
      </w:r>
      <w:r w:rsidR="00DB7A99">
        <w:rPr>
          <w:lang w:bidi="ar-EG"/>
        </w:rPr>
        <w:t xml:space="preserve"> accompanie</w:t>
      </w:r>
      <w:r w:rsidR="007167A4">
        <w:rPr>
          <w:lang w:bidi="ar-EG"/>
        </w:rPr>
        <w:t>d</w:t>
      </w:r>
      <w:r w:rsidR="00DB7A99">
        <w:rPr>
          <w:lang w:bidi="ar-EG"/>
        </w:rPr>
        <w:t xml:space="preserve"> by substantial injury of the local industry represented in the drop of production and local sales and their market share in addition</w:t>
      </w:r>
      <w:r w:rsidR="00B55FC3">
        <w:rPr>
          <w:lang w:bidi="ar-EG"/>
        </w:rPr>
        <w:t xml:space="preserve"> to the drop of </w:t>
      </w:r>
      <w:proofErr w:type="spellStart"/>
      <w:r w:rsidR="00B55FC3">
        <w:rPr>
          <w:lang w:bidi="ar-EG"/>
        </w:rPr>
        <w:t>labour</w:t>
      </w:r>
      <w:proofErr w:type="spellEnd"/>
      <w:r w:rsidR="00B55FC3">
        <w:rPr>
          <w:lang w:bidi="ar-EG"/>
        </w:rPr>
        <w:t xml:space="preserve"> and </w:t>
      </w:r>
      <w:r w:rsidR="0030144F">
        <w:rPr>
          <w:lang w:bidi="ar-EG"/>
        </w:rPr>
        <w:t xml:space="preserve">the </w:t>
      </w:r>
      <w:r w:rsidR="00B55FC3">
        <w:rPr>
          <w:lang w:bidi="ar-EG"/>
        </w:rPr>
        <w:t>inability</w:t>
      </w:r>
      <w:r w:rsidR="00DB7A99">
        <w:rPr>
          <w:lang w:bidi="ar-EG"/>
        </w:rPr>
        <w:t xml:space="preserve"> of the industry to make optimum use of its capacity, never to mention the drop of the profits of the industry and their turn into losses. </w:t>
      </w:r>
    </w:p>
    <w:p w:rsidR="00EA41C3" w:rsidRDefault="00DB7A99" w:rsidP="00DB7A99">
      <w:pPr>
        <w:pStyle w:val="ListParagraph"/>
        <w:numPr>
          <w:ilvl w:val="2"/>
          <w:numId w:val="4"/>
        </w:numPr>
        <w:jc w:val="both"/>
        <w:rPr>
          <w:lang w:bidi="ar-EG"/>
        </w:rPr>
      </w:pPr>
      <w:r>
        <w:rPr>
          <w:lang w:bidi="ar-EG"/>
        </w:rPr>
        <w:t xml:space="preserve">Furthermore, the Investigating Authority </w:t>
      </w:r>
      <w:proofErr w:type="spellStart"/>
      <w:r>
        <w:rPr>
          <w:lang w:bidi="ar-EG"/>
        </w:rPr>
        <w:t>realised</w:t>
      </w:r>
      <w:proofErr w:type="spellEnd"/>
      <w:r>
        <w:rPr>
          <w:lang w:bidi="ar-EG"/>
        </w:rPr>
        <w:t xml:space="preserve"> that shrinkage of demand may have contributed to the substantial injur</w:t>
      </w:r>
      <w:r w:rsidR="002A4F55">
        <w:rPr>
          <w:lang w:bidi="ar-EG"/>
        </w:rPr>
        <w:t>y, but in an ineffective manner.</w:t>
      </w:r>
      <w:r>
        <w:rPr>
          <w:lang w:bidi="ar-EG"/>
        </w:rPr>
        <w:t xml:space="preserve"> </w:t>
      </w:r>
      <w:r w:rsidR="002A4F55">
        <w:rPr>
          <w:lang w:bidi="ar-EG"/>
        </w:rPr>
        <w:t>However,</w:t>
      </w:r>
      <w:r>
        <w:rPr>
          <w:lang w:bidi="ar-EG"/>
        </w:rPr>
        <w:t xml:space="preserve"> this does not deny the negative impact of the increasing imports, an aspect </w:t>
      </w:r>
      <w:proofErr w:type="gramStart"/>
      <w:r>
        <w:rPr>
          <w:lang w:bidi="ar-EG"/>
        </w:rPr>
        <w:t>that points</w:t>
      </w:r>
      <w:proofErr w:type="gramEnd"/>
      <w:r>
        <w:rPr>
          <w:lang w:bidi="ar-EG"/>
        </w:rPr>
        <w:t xml:space="preserve"> to a direct causal link between the substan</w:t>
      </w:r>
      <w:r w:rsidR="002A4F55">
        <w:rPr>
          <w:lang w:bidi="ar-EG"/>
        </w:rPr>
        <w:t>tial increase of imports and</w:t>
      </w:r>
      <w:r>
        <w:rPr>
          <w:lang w:bidi="ar-EG"/>
        </w:rPr>
        <w:t xml:space="preserve"> substantial injury to the local industry.    </w:t>
      </w:r>
      <w:r w:rsidR="00E451A8">
        <w:rPr>
          <w:lang w:bidi="ar-EG"/>
        </w:rPr>
        <w:t xml:space="preserve">  </w:t>
      </w:r>
    </w:p>
    <w:p w:rsidR="00EA41C3" w:rsidRPr="00EA41C3" w:rsidRDefault="00EA41C3" w:rsidP="00EA41C3">
      <w:pPr>
        <w:jc w:val="both"/>
        <w:rPr>
          <w:b/>
          <w:bCs/>
          <w:lang w:bidi="ar-EG"/>
        </w:rPr>
      </w:pPr>
      <w:r w:rsidRPr="00EA41C3">
        <w:rPr>
          <w:b/>
          <w:bCs/>
          <w:lang w:bidi="ar-EG"/>
        </w:rPr>
        <w:t xml:space="preserve">Finding </w:t>
      </w:r>
    </w:p>
    <w:p w:rsidR="00055DF0" w:rsidRDefault="00EA41C3" w:rsidP="002A4F55">
      <w:pPr>
        <w:jc w:val="both"/>
        <w:rPr>
          <w:lang w:bidi="ar-EG"/>
        </w:rPr>
      </w:pPr>
      <w:r>
        <w:rPr>
          <w:lang w:bidi="ar-EG"/>
        </w:rPr>
        <w:t xml:space="preserve">In the light of the above, the Investigating Authority found a clear causal link between the substantial and sudden increase </w:t>
      </w:r>
      <w:r w:rsidR="002A4F55">
        <w:rPr>
          <w:lang w:bidi="ar-EG"/>
        </w:rPr>
        <w:t xml:space="preserve">of imports that resulted from </w:t>
      </w:r>
      <w:r>
        <w:rPr>
          <w:lang w:bidi="ar-EG"/>
        </w:rPr>
        <w:t xml:space="preserve">unexpected development and substantial injury to the local industry. </w:t>
      </w:r>
      <w:r w:rsidR="00055DF0">
        <w:rPr>
          <w:lang w:bidi="ar-EG"/>
        </w:rPr>
        <w:t xml:space="preserve"> </w:t>
      </w:r>
    </w:p>
    <w:p w:rsidR="00EA41C3" w:rsidRPr="00570B7F" w:rsidRDefault="00EA41C3" w:rsidP="00EA41C3">
      <w:pPr>
        <w:pStyle w:val="ListParagraph"/>
        <w:numPr>
          <w:ilvl w:val="0"/>
          <w:numId w:val="4"/>
        </w:numPr>
        <w:jc w:val="both"/>
        <w:rPr>
          <w:b/>
          <w:bCs/>
          <w:lang w:bidi="ar-EG"/>
        </w:rPr>
      </w:pPr>
      <w:r w:rsidRPr="00570B7F">
        <w:rPr>
          <w:b/>
          <w:bCs/>
          <w:lang w:bidi="ar-EG"/>
        </w:rPr>
        <w:t>Comments of the concerned parties</w:t>
      </w:r>
    </w:p>
    <w:p w:rsidR="00EA41C3" w:rsidRDefault="00EA41C3" w:rsidP="00A1066D">
      <w:pPr>
        <w:jc w:val="both"/>
        <w:rPr>
          <w:lang w:bidi="ar-EG"/>
        </w:rPr>
      </w:pPr>
      <w:r>
        <w:rPr>
          <w:lang w:bidi="ar-EG"/>
        </w:rPr>
        <w:t xml:space="preserve">7-1 The Investigating Authority has received </w:t>
      </w:r>
      <w:proofErr w:type="spellStart"/>
      <w:r w:rsidR="00570B7F">
        <w:rPr>
          <w:lang w:bidi="ar-EG"/>
        </w:rPr>
        <w:t>defences</w:t>
      </w:r>
      <w:proofErr w:type="spellEnd"/>
      <w:r>
        <w:rPr>
          <w:lang w:bidi="ar-EG"/>
        </w:rPr>
        <w:t xml:space="preserve"> and comments from some of the concerned </w:t>
      </w:r>
      <w:r w:rsidR="00A1066D">
        <w:rPr>
          <w:lang w:bidi="ar-EG"/>
        </w:rPr>
        <w:t>parties in investigation be these comments</w:t>
      </w:r>
      <w:r>
        <w:rPr>
          <w:lang w:bidi="ar-EG"/>
        </w:rPr>
        <w:t xml:space="preserve"> on the complaint or </w:t>
      </w:r>
      <w:r w:rsidR="00A1066D">
        <w:rPr>
          <w:lang w:bidi="ar-EG"/>
        </w:rPr>
        <w:t>subsequent to</w:t>
      </w:r>
      <w:r>
        <w:rPr>
          <w:lang w:bidi="ar-EG"/>
        </w:rPr>
        <w:t xml:space="preserve"> attending the hearing session. The concerned parties included: </w:t>
      </w:r>
    </w:p>
    <w:p w:rsidR="00EA41C3" w:rsidRDefault="00EA41C3" w:rsidP="00EA41C3">
      <w:pPr>
        <w:jc w:val="both"/>
        <w:rPr>
          <w:lang w:bidi="ar-EG"/>
        </w:rPr>
      </w:pPr>
      <w:r w:rsidRPr="00A1066D">
        <w:rPr>
          <w:b/>
          <w:bCs/>
          <w:lang w:bidi="ar-EG"/>
        </w:rPr>
        <w:t>7-1-1 Governments:</w:t>
      </w:r>
      <w:r>
        <w:rPr>
          <w:lang w:bidi="ar-EG"/>
        </w:rPr>
        <w:t xml:space="preserve"> (</w:t>
      </w:r>
      <w:r w:rsidR="00A1066D">
        <w:rPr>
          <w:lang w:bidi="ar-EG"/>
        </w:rPr>
        <w:t xml:space="preserve">the </w:t>
      </w:r>
      <w:r>
        <w:rPr>
          <w:lang w:bidi="ar-EG"/>
        </w:rPr>
        <w:t>UAE, Bahrain, Taiwan, Russia,</w:t>
      </w:r>
      <w:r w:rsidR="00A1066D">
        <w:rPr>
          <w:lang w:bidi="ar-EG"/>
        </w:rPr>
        <w:t xml:space="preserve"> the</w:t>
      </w:r>
      <w:r>
        <w:rPr>
          <w:lang w:bidi="ar-EG"/>
        </w:rPr>
        <w:t xml:space="preserve"> KSA, Kuwait, Sultanat</w:t>
      </w:r>
      <w:r w:rsidR="00A1066D">
        <w:rPr>
          <w:lang w:bidi="ar-EG"/>
        </w:rPr>
        <w:t>e</w:t>
      </w:r>
      <w:r>
        <w:rPr>
          <w:lang w:bidi="ar-EG"/>
        </w:rPr>
        <w:t xml:space="preserve"> of Oman)</w:t>
      </w:r>
      <w:r w:rsidR="009F7FC7">
        <w:rPr>
          <w:lang w:bidi="ar-EG"/>
        </w:rPr>
        <w:t>.</w:t>
      </w:r>
    </w:p>
    <w:p w:rsidR="00EA41C3" w:rsidRDefault="00EA41C3" w:rsidP="00EA41C3">
      <w:pPr>
        <w:jc w:val="both"/>
      </w:pPr>
      <w:r w:rsidRPr="00A1066D">
        <w:rPr>
          <w:b/>
          <w:bCs/>
          <w:lang w:bidi="ar-EG"/>
        </w:rPr>
        <w:t>7-1-2 Local users and importers:</w:t>
      </w:r>
      <w:r>
        <w:rPr>
          <w:lang w:bidi="ar-EG"/>
        </w:rPr>
        <w:t xml:space="preserve"> </w:t>
      </w:r>
      <w:r w:rsidRPr="00AA39AC">
        <w:rPr>
          <w:lang w:bidi="ar-EG"/>
        </w:rPr>
        <w:t>Inter-Cairo for Aluminum Industry (IC),</w:t>
      </w:r>
      <w:r>
        <w:rPr>
          <w:lang w:bidi="ar-EG"/>
        </w:rPr>
        <w:t xml:space="preserve"> </w:t>
      </w:r>
      <w:proofErr w:type="spellStart"/>
      <w:r w:rsidRPr="00AA39AC">
        <w:rPr>
          <w:lang w:bidi="ar-EG"/>
        </w:rPr>
        <w:t>Delemar</w:t>
      </w:r>
      <w:proofErr w:type="spellEnd"/>
      <w:r w:rsidRPr="00AA39AC">
        <w:rPr>
          <w:lang w:bidi="ar-EG"/>
        </w:rPr>
        <w:t xml:space="preserve"> </w:t>
      </w:r>
      <w:proofErr w:type="gramStart"/>
      <w:r w:rsidRPr="00AA39AC">
        <w:rPr>
          <w:lang w:bidi="ar-EG"/>
        </w:rPr>
        <w:t>For</w:t>
      </w:r>
      <w:proofErr w:type="gramEnd"/>
      <w:r w:rsidRPr="00AA39AC">
        <w:rPr>
          <w:lang w:bidi="ar-EG"/>
        </w:rPr>
        <w:t xml:space="preserve"> Aluminum Profiles Production</w:t>
      </w:r>
      <w:r>
        <w:rPr>
          <w:lang w:bidi="ar-EG"/>
        </w:rPr>
        <w:t xml:space="preserve">, the </w:t>
      </w:r>
      <w:r w:rsidRPr="00AA39AC">
        <w:rPr>
          <w:lang w:bidi="ar-EG"/>
        </w:rPr>
        <w:t xml:space="preserve">Canadian International </w:t>
      </w:r>
      <w:proofErr w:type="spellStart"/>
      <w:r w:rsidRPr="00AA39AC">
        <w:rPr>
          <w:lang w:bidi="ar-EG"/>
        </w:rPr>
        <w:t>Aluminium</w:t>
      </w:r>
      <w:proofErr w:type="spellEnd"/>
      <w:r w:rsidRPr="00AA39AC">
        <w:rPr>
          <w:lang w:bidi="ar-EG"/>
        </w:rPr>
        <w:t xml:space="preserve"> Company </w:t>
      </w:r>
      <w:r>
        <w:rPr>
          <w:lang w:bidi="ar-EG"/>
        </w:rPr>
        <w:t>(</w:t>
      </w:r>
      <w:proofErr w:type="spellStart"/>
      <w:r w:rsidRPr="00AA39AC">
        <w:rPr>
          <w:lang w:bidi="ar-EG"/>
        </w:rPr>
        <w:t>Caluminium</w:t>
      </w:r>
      <w:proofErr w:type="spellEnd"/>
      <w:r>
        <w:rPr>
          <w:lang w:bidi="ar-EG"/>
        </w:rPr>
        <w:t xml:space="preserve">), </w:t>
      </w:r>
      <w:r w:rsidRPr="00C44912">
        <w:t>CANEX Aluminum</w:t>
      </w:r>
      <w:r>
        <w:t xml:space="preserve">. </w:t>
      </w:r>
    </w:p>
    <w:p w:rsidR="00EA41C3" w:rsidRDefault="00EA41C3" w:rsidP="00EA41C3">
      <w:pPr>
        <w:jc w:val="both"/>
        <w:rPr>
          <w:lang w:bidi="ar-EG"/>
        </w:rPr>
      </w:pPr>
      <w:r w:rsidRPr="009F7FC7">
        <w:rPr>
          <w:b/>
          <w:bCs/>
        </w:rPr>
        <w:t>7-1-3 Exporters</w:t>
      </w:r>
      <w:r>
        <w:t xml:space="preserve">: </w:t>
      </w:r>
      <w:r w:rsidRPr="00000FED">
        <w:rPr>
          <w:lang w:bidi="ar-EG"/>
        </w:rPr>
        <w:t xml:space="preserve">Global Vietnam </w:t>
      </w:r>
      <w:proofErr w:type="spellStart"/>
      <w:r w:rsidRPr="00000FED">
        <w:rPr>
          <w:lang w:bidi="ar-EG"/>
        </w:rPr>
        <w:t>Aluminium</w:t>
      </w:r>
      <w:proofErr w:type="spellEnd"/>
      <w:r w:rsidRPr="00000FED">
        <w:rPr>
          <w:lang w:bidi="ar-EG"/>
        </w:rPr>
        <w:t xml:space="preserve"> Co., Ltd (</w:t>
      </w:r>
      <w:proofErr w:type="spellStart"/>
      <w:r w:rsidRPr="00000FED">
        <w:rPr>
          <w:lang w:bidi="ar-EG"/>
        </w:rPr>
        <w:t>Gva</w:t>
      </w:r>
      <w:proofErr w:type="spellEnd"/>
      <w:r w:rsidRPr="00000FED">
        <w:rPr>
          <w:lang w:bidi="ar-EG"/>
        </w:rPr>
        <w:t>)</w:t>
      </w:r>
      <w:r>
        <w:rPr>
          <w:lang w:bidi="ar-EG"/>
        </w:rPr>
        <w:t xml:space="preserve">, </w:t>
      </w:r>
      <w:r w:rsidRPr="00000FED">
        <w:rPr>
          <w:lang w:bidi="ar-EG"/>
        </w:rPr>
        <w:t>United Company RUSAL</w:t>
      </w:r>
      <w:r>
        <w:rPr>
          <w:lang w:bidi="ar-EG"/>
        </w:rPr>
        <w:t>-Russia,</w:t>
      </w:r>
      <w:r w:rsidRPr="00000FED">
        <w:t xml:space="preserve"> </w:t>
      </w:r>
      <w:proofErr w:type="spellStart"/>
      <w:r>
        <w:rPr>
          <w:lang w:bidi="ar-EG"/>
        </w:rPr>
        <w:t>Midal</w:t>
      </w:r>
      <w:proofErr w:type="spellEnd"/>
      <w:r>
        <w:rPr>
          <w:lang w:bidi="ar-EG"/>
        </w:rPr>
        <w:t xml:space="preserve"> Cables, </w:t>
      </w:r>
      <w:proofErr w:type="spellStart"/>
      <w:r>
        <w:rPr>
          <w:lang w:bidi="ar-EG"/>
        </w:rPr>
        <w:t>Aluminium</w:t>
      </w:r>
      <w:proofErr w:type="spellEnd"/>
      <w:r>
        <w:rPr>
          <w:lang w:bidi="ar-EG"/>
        </w:rPr>
        <w:t xml:space="preserve"> Bahrain (Alba). </w:t>
      </w:r>
    </w:p>
    <w:p w:rsidR="00AA1B98" w:rsidRDefault="00AA1B98" w:rsidP="00EA41C3">
      <w:pPr>
        <w:jc w:val="both"/>
        <w:rPr>
          <w:lang w:bidi="ar-EG"/>
        </w:rPr>
      </w:pPr>
      <w:r>
        <w:rPr>
          <w:lang w:bidi="ar-EG"/>
        </w:rPr>
        <w:t>The followin</w:t>
      </w:r>
      <w:r w:rsidR="004F42C6">
        <w:rPr>
          <w:lang w:bidi="ar-EG"/>
        </w:rPr>
        <w:t xml:space="preserve">g is a presentation of such </w:t>
      </w:r>
      <w:proofErr w:type="spellStart"/>
      <w:r w:rsidR="004F42C6">
        <w:rPr>
          <w:lang w:bidi="ar-EG"/>
        </w:rPr>
        <w:t>def</w:t>
      </w:r>
      <w:r>
        <w:rPr>
          <w:lang w:bidi="ar-EG"/>
        </w:rPr>
        <w:t>ences</w:t>
      </w:r>
      <w:proofErr w:type="spellEnd"/>
      <w:r>
        <w:rPr>
          <w:lang w:bidi="ar-EG"/>
        </w:rPr>
        <w:t xml:space="preserve"> and comments and the </w:t>
      </w:r>
      <w:r w:rsidR="007E2E08">
        <w:rPr>
          <w:lang w:bidi="ar-EG"/>
        </w:rPr>
        <w:t>response of the Investigating Authority:</w:t>
      </w:r>
    </w:p>
    <w:p w:rsidR="002A4F55" w:rsidRDefault="002A4F55" w:rsidP="00EA41C3">
      <w:pPr>
        <w:jc w:val="both"/>
        <w:rPr>
          <w:lang w:bidi="ar-EG"/>
        </w:rPr>
      </w:pPr>
    </w:p>
    <w:p w:rsidR="007E2E08" w:rsidRPr="002A4F55" w:rsidRDefault="007E2E08" w:rsidP="00EA41C3">
      <w:pPr>
        <w:jc w:val="both"/>
        <w:rPr>
          <w:b/>
          <w:bCs/>
          <w:u w:val="single"/>
          <w:lang w:bidi="ar-EG"/>
        </w:rPr>
      </w:pPr>
      <w:r w:rsidRPr="002A4F55">
        <w:rPr>
          <w:b/>
          <w:bCs/>
          <w:u w:val="single"/>
          <w:lang w:bidi="ar-EG"/>
        </w:rPr>
        <w:lastRenderedPageBreak/>
        <w:t xml:space="preserve">Claim 1: </w:t>
      </w:r>
    </w:p>
    <w:p w:rsidR="007E2E08" w:rsidRDefault="004F42C6" w:rsidP="004F42C6">
      <w:pPr>
        <w:jc w:val="both"/>
        <w:rPr>
          <w:lang w:bidi="ar-EG"/>
        </w:rPr>
      </w:pPr>
      <w:r>
        <w:rPr>
          <w:lang w:bidi="ar-EG"/>
        </w:rPr>
        <w:t>T</w:t>
      </w:r>
      <w:r w:rsidR="007E2E08">
        <w:rPr>
          <w:lang w:bidi="ar-EG"/>
        </w:rPr>
        <w:t>he devaluation of the local currency in November 2016 led to a sharp lack of US</w:t>
      </w:r>
      <w:r>
        <w:rPr>
          <w:lang w:bidi="ar-EG"/>
        </w:rPr>
        <w:t xml:space="preserve"> dollar</w:t>
      </w:r>
      <w:r w:rsidR="007E2E08">
        <w:rPr>
          <w:lang w:bidi="ar-EG"/>
        </w:rPr>
        <w:t xml:space="preserve"> in the local market and Egyptian banks, an aspect that led all factories to go to the only supplier to meet the needs of factories of production inputs</w:t>
      </w:r>
      <w:r>
        <w:rPr>
          <w:lang w:bidi="ar-EG"/>
        </w:rPr>
        <w:t>.</w:t>
      </w:r>
      <w:r w:rsidR="007E2E08">
        <w:rPr>
          <w:lang w:bidi="ar-EG"/>
        </w:rPr>
        <w:t xml:space="preserve"> </w:t>
      </w:r>
      <w:r>
        <w:rPr>
          <w:lang w:bidi="ar-EG"/>
        </w:rPr>
        <w:t>However</w:t>
      </w:r>
      <w:r w:rsidR="007E2E08">
        <w:rPr>
          <w:lang w:bidi="ar-EG"/>
        </w:rPr>
        <w:t xml:space="preserve">, </w:t>
      </w:r>
      <w:proofErr w:type="spellStart"/>
      <w:r w:rsidR="007E2E08">
        <w:rPr>
          <w:lang w:bidi="ar-EG"/>
        </w:rPr>
        <w:t>Misr</w:t>
      </w:r>
      <w:proofErr w:type="spellEnd"/>
      <w:r w:rsidR="007E2E08">
        <w:rPr>
          <w:lang w:bidi="ar-EG"/>
        </w:rPr>
        <w:t xml:space="preserve"> Aluminum Company has unjustifiably raised its prices over that period and</w:t>
      </w:r>
      <w:r>
        <w:rPr>
          <w:lang w:bidi="ar-EG"/>
        </w:rPr>
        <w:t xml:space="preserve"> could not meet a large percentage</w:t>
      </w:r>
      <w:r w:rsidR="007E2E08">
        <w:rPr>
          <w:lang w:bidi="ar-EG"/>
        </w:rPr>
        <w:t xml:space="preserve"> of the local market needs</w:t>
      </w:r>
      <w:r>
        <w:rPr>
          <w:lang w:bidi="ar-EG"/>
        </w:rPr>
        <w:t xml:space="preserve"> while</w:t>
      </w:r>
      <w:r w:rsidR="007E2E08">
        <w:rPr>
          <w:lang w:bidi="ar-EG"/>
        </w:rPr>
        <w:t xml:space="preserve"> calling on the local clients to find other sources for the rest of their needs since there are contractual obligations relevant to e</w:t>
      </w:r>
      <w:r>
        <w:rPr>
          <w:lang w:bidi="ar-EG"/>
        </w:rPr>
        <w:t>xporting the products subject to</w:t>
      </w:r>
      <w:r w:rsidR="007E2E08">
        <w:rPr>
          <w:lang w:bidi="ar-EG"/>
        </w:rPr>
        <w:t xml:space="preserve"> investigation. </w:t>
      </w:r>
    </w:p>
    <w:p w:rsidR="007E2E08" w:rsidRPr="00B47672" w:rsidRDefault="007E2E08" w:rsidP="00EA41C3">
      <w:pPr>
        <w:jc w:val="both"/>
        <w:rPr>
          <w:b/>
          <w:bCs/>
          <w:lang w:bidi="ar-EG"/>
        </w:rPr>
      </w:pPr>
      <w:r w:rsidRPr="00B47672">
        <w:rPr>
          <w:b/>
          <w:bCs/>
          <w:lang w:bidi="ar-EG"/>
        </w:rPr>
        <w:t>Response:</w:t>
      </w:r>
    </w:p>
    <w:p w:rsidR="007E2E08" w:rsidRPr="00D041CC" w:rsidRDefault="007E2E08" w:rsidP="004F42C6">
      <w:pPr>
        <w:jc w:val="both"/>
        <w:rPr>
          <w:b/>
          <w:bCs/>
          <w:lang w:bidi="ar-EG"/>
        </w:rPr>
      </w:pPr>
      <w:r w:rsidRPr="00D041CC">
        <w:rPr>
          <w:b/>
          <w:bCs/>
          <w:lang w:bidi="ar-EG"/>
        </w:rPr>
        <w:t xml:space="preserve">Devaluating the local currency in 2016 had a similar impact on the local industry just </w:t>
      </w:r>
      <w:r w:rsidR="004F42C6">
        <w:rPr>
          <w:b/>
          <w:bCs/>
          <w:lang w:bidi="ar-EG"/>
        </w:rPr>
        <w:t>as</w:t>
      </w:r>
      <w:r w:rsidRPr="00D041CC">
        <w:rPr>
          <w:b/>
          <w:bCs/>
          <w:lang w:bidi="ar-EG"/>
        </w:rPr>
        <w:t xml:space="preserve"> importers; the industry imports ra</w:t>
      </w:r>
      <w:r w:rsidR="004F42C6">
        <w:rPr>
          <w:b/>
          <w:bCs/>
          <w:lang w:bidi="ar-EG"/>
        </w:rPr>
        <w:t xml:space="preserve">w alumina, which led to cost increase </w:t>
      </w:r>
      <w:r w:rsidRPr="00D041CC">
        <w:rPr>
          <w:b/>
          <w:bCs/>
          <w:lang w:bidi="ar-EG"/>
        </w:rPr>
        <w:t>and in turn the industry raised prices.</w:t>
      </w:r>
    </w:p>
    <w:p w:rsidR="00D041CC" w:rsidRDefault="007E2E08" w:rsidP="00EE430B">
      <w:pPr>
        <w:jc w:val="both"/>
        <w:rPr>
          <w:lang w:bidi="ar-EG"/>
        </w:rPr>
      </w:pPr>
      <w:proofErr w:type="gramStart"/>
      <w:r w:rsidRPr="00D041CC">
        <w:rPr>
          <w:b/>
          <w:bCs/>
          <w:lang w:bidi="ar-EG"/>
        </w:rPr>
        <w:t>As for the company’s request that its clie</w:t>
      </w:r>
      <w:r w:rsidR="00B10842">
        <w:rPr>
          <w:b/>
          <w:bCs/>
          <w:lang w:bidi="ar-EG"/>
        </w:rPr>
        <w:t>nts find other sources to meet their</w:t>
      </w:r>
      <w:r w:rsidRPr="00D041CC">
        <w:rPr>
          <w:b/>
          <w:bCs/>
          <w:lang w:bidi="ar-EG"/>
        </w:rPr>
        <w:t xml:space="preserve"> needs due to contractual obligations on the part of the company t</w:t>
      </w:r>
      <w:r w:rsidR="00B10842">
        <w:rPr>
          <w:b/>
          <w:bCs/>
          <w:lang w:bidi="ar-EG"/>
        </w:rPr>
        <w:t>o export the products subject to</w:t>
      </w:r>
      <w:r w:rsidRPr="00D041CC">
        <w:rPr>
          <w:b/>
          <w:bCs/>
          <w:lang w:bidi="ar-EG"/>
        </w:rPr>
        <w:t xml:space="preserve"> investigation, the Investigating Authority has investigated </w:t>
      </w:r>
      <w:r w:rsidR="00B47672" w:rsidRPr="00D041CC">
        <w:rPr>
          <w:b/>
          <w:bCs/>
          <w:lang w:bidi="ar-EG"/>
        </w:rPr>
        <w:t>to substantiate the</w:t>
      </w:r>
      <w:r w:rsidRPr="00D041CC">
        <w:rPr>
          <w:b/>
          <w:bCs/>
          <w:lang w:bidi="ar-EG"/>
        </w:rPr>
        <w:t xml:space="preserve"> claim</w:t>
      </w:r>
      <w:r w:rsidR="00D041CC" w:rsidRPr="00D041CC">
        <w:rPr>
          <w:b/>
          <w:bCs/>
          <w:lang w:bidi="ar-EG"/>
        </w:rPr>
        <w:t xml:space="preserve"> through a field visit to the local industry and it was found that i</w:t>
      </w:r>
      <w:r w:rsidR="00EE430B">
        <w:rPr>
          <w:b/>
          <w:bCs/>
          <w:lang w:bidi="ar-EG"/>
        </w:rPr>
        <w:t>t was not true</w:t>
      </w:r>
      <w:r w:rsidR="00D041CC" w:rsidRPr="00D041CC">
        <w:rPr>
          <w:b/>
          <w:bCs/>
          <w:lang w:bidi="ar-EG"/>
        </w:rPr>
        <w:t xml:space="preserve"> as it obtained invoices of</w:t>
      </w:r>
      <w:r w:rsidR="00B10842">
        <w:rPr>
          <w:b/>
          <w:bCs/>
          <w:lang w:bidi="ar-EG"/>
        </w:rPr>
        <w:t xml:space="preserve"> selling the products subject to</w:t>
      </w:r>
      <w:r w:rsidR="00D041CC" w:rsidRPr="00D041CC">
        <w:rPr>
          <w:b/>
          <w:bCs/>
          <w:lang w:bidi="ar-EG"/>
        </w:rPr>
        <w:t xml:space="preserve"> investigation to local clients including one of those who submitted such claim.</w:t>
      </w:r>
      <w:proofErr w:type="gramEnd"/>
      <w:r w:rsidR="00D041CC">
        <w:rPr>
          <w:lang w:bidi="ar-EG"/>
        </w:rPr>
        <w:t xml:space="preserve"> </w:t>
      </w:r>
    </w:p>
    <w:p w:rsidR="00D041CC" w:rsidRPr="00B10842" w:rsidRDefault="00D041CC" w:rsidP="00D041CC">
      <w:pPr>
        <w:jc w:val="both"/>
        <w:rPr>
          <w:u w:val="single"/>
          <w:lang w:bidi="ar-EG"/>
        </w:rPr>
      </w:pPr>
      <w:r w:rsidRPr="00B10842">
        <w:rPr>
          <w:u w:val="single"/>
          <w:lang w:bidi="ar-EG"/>
        </w:rPr>
        <w:t>Claim 2:</w:t>
      </w:r>
    </w:p>
    <w:p w:rsidR="002F6816" w:rsidRDefault="00D041CC" w:rsidP="00B10842">
      <w:pPr>
        <w:jc w:val="both"/>
        <w:rPr>
          <w:lang w:bidi="ar-EG"/>
        </w:rPr>
      </w:pPr>
      <w:proofErr w:type="spellStart"/>
      <w:r>
        <w:rPr>
          <w:lang w:bidi="ar-EG"/>
        </w:rPr>
        <w:t>Misr</w:t>
      </w:r>
      <w:proofErr w:type="spellEnd"/>
      <w:r>
        <w:rPr>
          <w:lang w:bidi="ar-EG"/>
        </w:rPr>
        <w:t xml:space="preserve"> Aluminum Company sets the quotation</w:t>
      </w:r>
      <w:r w:rsidR="007E2E08">
        <w:rPr>
          <w:lang w:bidi="ar-EG"/>
        </w:rPr>
        <w:t xml:space="preserve"> </w:t>
      </w:r>
      <w:r>
        <w:rPr>
          <w:lang w:bidi="ar-EG"/>
        </w:rPr>
        <w:t xml:space="preserve">of the products its exports </w:t>
      </w:r>
      <w:r w:rsidR="002F6816">
        <w:rPr>
          <w:lang w:bidi="ar-EG"/>
        </w:rPr>
        <w:t>according the world exchange rates, while it set</w:t>
      </w:r>
      <w:r w:rsidR="00B10842">
        <w:rPr>
          <w:lang w:bidi="ar-EG"/>
        </w:rPr>
        <w:t>s</w:t>
      </w:r>
      <w:r w:rsidR="002F6816">
        <w:rPr>
          <w:lang w:bidi="ar-EG"/>
        </w:rPr>
        <w:t xml:space="preserve"> the quotation of the local market upon the method of average sales (to the extent that </w:t>
      </w:r>
      <w:r w:rsidR="00B10842">
        <w:rPr>
          <w:lang w:bidi="ar-EG"/>
        </w:rPr>
        <w:t xml:space="preserve">difference between the </w:t>
      </w:r>
      <w:r w:rsidR="002F6816">
        <w:rPr>
          <w:lang w:bidi="ar-EG"/>
        </w:rPr>
        <w:t xml:space="preserve">local price </w:t>
      </w:r>
      <w:r w:rsidR="00B10842">
        <w:rPr>
          <w:lang w:bidi="ar-EG"/>
        </w:rPr>
        <w:t>and</w:t>
      </w:r>
      <w:r w:rsidR="002F6816">
        <w:rPr>
          <w:lang w:bidi="ar-EG"/>
        </w:rPr>
        <w:t xml:space="preserve"> </w:t>
      </w:r>
      <w:r w:rsidR="00B10842">
        <w:rPr>
          <w:lang w:bidi="ar-EG"/>
        </w:rPr>
        <w:t xml:space="preserve">the </w:t>
      </w:r>
      <w:r w:rsidR="002F6816">
        <w:rPr>
          <w:lang w:bidi="ar-EG"/>
        </w:rPr>
        <w:t>export</w:t>
      </w:r>
      <w:r w:rsidR="00B10842">
        <w:rPr>
          <w:lang w:bidi="ar-EG"/>
        </w:rPr>
        <w:t>ation price</w:t>
      </w:r>
      <w:r w:rsidR="002F6816">
        <w:rPr>
          <w:lang w:bidi="ar-EG"/>
        </w:rPr>
        <w:t xml:space="preserve"> reached more than USD 300/ton). This method does not reflec</w:t>
      </w:r>
      <w:r w:rsidR="00B10842">
        <w:rPr>
          <w:lang w:bidi="ar-EG"/>
        </w:rPr>
        <w:t>t the world prices, especially when</w:t>
      </w:r>
      <w:r w:rsidR="002F6816">
        <w:rPr>
          <w:lang w:bidi="ar-EG"/>
        </w:rPr>
        <w:t xml:space="preserve"> the</w:t>
      </w:r>
      <w:r w:rsidR="00B10842">
        <w:rPr>
          <w:lang w:bidi="ar-EG"/>
        </w:rPr>
        <w:t>y</w:t>
      </w:r>
      <w:r w:rsidR="002F6816">
        <w:rPr>
          <w:lang w:bidi="ar-EG"/>
        </w:rPr>
        <w:t xml:space="preserve"> drop, an aspect that negatively impacts the compan</w:t>
      </w:r>
      <w:r w:rsidR="00B10842">
        <w:rPr>
          <w:lang w:bidi="ar-EG"/>
        </w:rPr>
        <w:t>ies that export</w:t>
      </w:r>
      <w:r w:rsidR="002F6816">
        <w:rPr>
          <w:lang w:bidi="ar-EG"/>
        </w:rPr>
        <w:t xml:space="preserve"> aluminum profiles. </w:t>
      </w:r>
    </w:p>
    <w:p w:rsidR="002F6816" w:rsidRPr="00453FDB" w:rsidRDefault="002F6816" w:rsidP="00D041CC">
      <w:pPr>
        <w:jc w:val="both"/>
        <w:rPr>
          <w:b/>
          <w:bCs/>
          <w:lang w:bidi="ar-EG"/>
        </w:rPr>
      </w:pPr>
      <w:r w:rsidRPr="00453FDB">
        <w:rPr>
          <w:b/>
          <w:bCs/>
          <w:lang w:bidi="ar-EG"/>
        </w:rPr>
        <w:t xml:space="preserve">Response: </w:t>
      </w:r>
    </w:p>
    <w:p w:rsidR="00453FDB" w:rsidRPr="00B10842" w:rsidRDefault="002F6816" w:rsidP="00D041CC">
      <w:pPr>
        <w:jc w:val="both"/>
        <w:rPr>
          <w:b/>
          <w:bCs/>
          <w:lang w:bidi="ar-EG"/>
        </w:rPr>
      </w:pPr>
      <w:r w:rsidRPr="00B10842">
        <w:rPr>
          <w:b/>
          <w:bCs/>
          <w:lang w:bidi="ar-EG"/>
        </w:rPr>
        <w:t>The Inve</w:t>
      </w:r>
      <w:r w:rsidR="00453FDB" w:rsidRPr="00B10842">
        <w:rPr>
          <w:b/>
          <w:bCs/>
          <w:lang w:bidi="ar-EG"/>
        </w:rPr>
        <w:t xml:space="preserve">stigating Authority has investigated the pricing policy of the company and found that the company follows the same pricing policy for imported and local products, however, it just shoulders local products the customs duties paid for imported raw material while it does not shoulder the imported products such cost since the paid customs duties on imported raw material are refunded at exportation. </w:t>
      </w:r>
    </w:p>
    <w:p w:rsidR="00453FDB" w:rsidRPr="00B10842" w:rsidRDefault="00453FDB" w:rsidP="00B10842">
      <w:pPr>
        <w:tabs>
          <w:tab w:val="left" w:pos="1906"/>
        </w:tabs>
        <w:jc w:val="both"/>
        <w:rPr>
          <w:b/>
          <w:bCs/>
          <w:u w:val="single"/>
          <w:lang w:bidi="ar-EG"/>
        </w:rPr>
      </w:pPr>
      <w:r w:rsidRPr="00B10842">
        <w:rPr>
          <w:b/>
          <w:bCs/>
          <w:u w:val="single"/>
          <w:lang w:bidi="ar-EG"/>
        </w:rPr>
        <w:t>Claim 3:</w:t>
      </w:r>
    </w:p>
    <w:p w:rsidR="00B81E68" w:rsidRDefault="00453FDB" w:rsidP="00D041CC">
      <w:pPr>
        <w:jc w:val="both"/>
        <w:rPr>
          <w:lang w:bidi="ar-EG"/>
        </w:rPr>
      </w:pPr>
      <w:r>
        <w:rPr>
          <w:lang w:bidi="ar-EG"/>
        </w:rPr>
        <w:t xml:space="preserve">Imposing safeguard measures on </w:t>
      </w:r>
      <w:r w:rsidRPr="00453FDB">
        <w:rPr>
          <w:lang w:bidi="ar-EG"/>
        </w:rPr>
        <w:t>aluminum ore</w:t>
      </w:r>
      <w:r w:rsidR="00B10842">
        <w:rPr>
          <w:lang w:bidi="ar-EG"/>
        </w:rPr>
        <w:t xml:space="preserve"> imports</w:t>
      </w:r>
      <w:r>
        <w:rPr>
          <w:lang w:bidi="ar-EG"/>
        </w:rPr>
        <w:t xml:space="preserve"> impacts the prices of aluminum profiles,</w:t>
      </w:r>
      <w:r w:rsidR="00B10842">
        <w:rPr>
          <w:lang w:bidi="ar-EG"/>
        </w:rPr>
        <w:t xml:space="preserve"> i.e., salient products used</w:t>
      </w:r>
      <w:r>
        <w:rPr>
          <w:lang w:bidi="ar-EG"/>
        </w:rPr>
        <w:t xml:space="preserve"> in national projects, public and private projects, car industry, and household appliances, among others. Therefore, there will be no place for competition in the price of profiles in the local market and traders will import fully produced aluminum profiles which are customs duty exempt.</w:t>
      </w:r>
    </w:p>
    <w:p w:rsidR="00B81E68" w:rsidRPr="00B81E68" w:rsidRDefault="00B81E68" w:rsidP="00D041CC">
      <w:pPr>
        <w:jc w:val="both"/>
        <w:rPr>
          <w:b/>
          <w:bCs/>
          <w:lang w:bidi="ar-EG"/>
        </w:rPr>
      </w:pPr>
      <w:r w:rsidRPr="00B81E68">
        <w:rPr>
          <w:b/>
          <w:bCs/>
          <w:lang w:bidi="ar-EG"/>
        </w:rPr>
        <w:t xml:space="preserve">Response: </w:t>
      </w:r>
    </w:p>
    <w:p w:rsidR="001D18E7" w:rsidRPr="001D18E7" w:rsidRDefault="00B81E68" w:rsidP="0040148B">
      <w:pPr>
        <w:jc w:val="both"/>
        <w:rPr>
          <w:b/>
          <w:bCs/>
          <w:lang w:bidi="ar-EG"/>
        </w:rPr>
      </w:pPr>
      <w:r w:rsidRPr="001D18E7">
        <w:rPr>
          <w:b/>
          <w:bCs/>
          <w:lang w:bidi="ar-EG"/>
        </w:rPr>
        <w:lastRenderedPageBreak/>
        <w:t>In accordance</w:t>
      </w:r>
      <w:r w:rsidR="0060004E">
        <w:rPr>
          <w:b/>
          <w:bCs/>
          <w:lang w:bidi="ar-EG"/>
        </w:rPr>
        <w:t xml:space="preserve"> to article (5-3) of the S</w:t>
      </w:r>
      <w:r w:rsidRPr="001D18E7">
        <w:rPr>
          <w:b/>
          <w:bCs/>
          <w:lang w:bidi="ar-EG"/>
        </w:rPr>
        <w:t xml:space="preserve">afeguard </w:t>
      </w:r>
      <w:r w:rsidR="0060004E">
        <w:rPr>
          <w:b/>
          <w:bCs/>
          <w:lang w:bidi="ar-EG"/>
        </w:rPr>
        <w:t>A</w:t>
      </w:r>
      <w:r w:rsidRPr="001D18E7">
        <w:rPr>
          <w:b/>
          <w:bCs/>
          <w:lang w:bidi="ar-EG"/>
        </w:rPr>
        <w:t xml:space="preserve">greement which prescribes that </w:t>
      </w:r>
      <w:r w:rsidR="0060004E">
        <w:rPr>
          <w:b/>
          <w:bCs/>
          <w:lang w:bidi="ar-EG"/>
        </w:rPr>
        <w:t xml:space="preserve">“a </w:t>
      </w:r>
      <w:r w:rsidRPr="001D18E7">
        <w:rPr>
          <w:b/>
          <w:bCs/>
          <w:lang w:bidi="ar-EG"/>
        </w:rPr>
        <w:t xml:space="preserve">member shall not apply safeguard measures unless within necessary limits to ban or treat substantial injury and facilitate adaptation…”, imposing safeguard measures should be based on an investigation conducted by the competent authorities through which it would be realized that </w:t>
      </w:r>
      <w:r w:rsidR="0060004E">
        <w:rPr>
          <w:b/>
          <w:bCs/>
          <w:lang w:bidi="ar-EG"/>
        </w:rPr>
        <w:t xml:space="preserve">the </w:t>
      </w:r>
      <w:r w:rsidRPr="001D18E7">
        <w:rPr>
          <w:b/>
          <w:bCs/>
          <w:lang w:bidi="ar-EG"/>
        </w:rPr>
        <w:t>substantial increase of imports caused</w:t>
      </w:r>
      <w:r>
        <w:rPr>
          <w:lang w:bidi="ar-EG"/>
        </w:rPr>
        <w:t xml:space="preserve"> </w:t>
      </w:r>
      <w:r w:rsidRPr="001D18E7">
        <w:rPr>
          <w:b/>
          <w:bCs/>
          <w:lang w:bidi="ar-EG"/>
        </w:rPr>
        <w:t xml:space="preserve">substantial injury to the industry. </w:t>
      </w:r>
      <w:proofErr w:type="gramStart"/>
      <w:r w:rsidR="004B2D04">
        <w:rPr>
          <w:b/>
          <w:bCs/>
          <w:lang w:bidi="ar-EG"/>
        </w:rPr>
        <w:t>Worth mentioning, safeguard duties</w:t>
      </w:r>
      <w:r w:rsidRPr="001D18E7">
        <w:rPr>
          <w:b/>
          <w:bCs/>
          <w:lang w:bidi="ar-EG"/>
        </w:rPr>
        <w:t xml:space="preserve"> do not target banning the access of imports completely, rather target regulation their access and realizing fair competition in the Egyptian market and providing the local industry an opportunity to adapt its status and recover from the injurious impacts</w:t>
      </w:r>
      <w:r w:rsidR="001D18E7" w:rsidRPr="001D18E7">
        <w:rPr>
          <w:b/>
          <w:bCs/>
          <w:lang w:bidi="ar-EG"/>
        </w:rPr>
        <w:t xml:space="preserve"> resulting from substantial increase of imports so as to be able to compete with such increasing imports after the duties phase</w:t>
      </w:r>
      <w:r w:rsidR="0040148B">
        <w:rPr>
          <w:b/>
          <w:bCs/>
          <w:lang w:bidi="ar-EG"/>
        </w:rPr>
        <w:t xml:space="preserve"> comes to an end</w:t>
      </w:r>
      <w:r w:rsidR="001D18E7" w:rsidRPr="001D18E7">
        <w:rPr>
          <w:b/>
          <w:bCs/>
          <w:lang w:bidi="ar-EG"/>
        </w:rPr>
        <w:t>.</w:t>
      </w:r>
      <w:proofErr w:type="gramEnd"/>
      <w:r w:rsidR="001D18E7" w:rsidRPr="001D18E7">
        <w:rPr>
          <w:b/>
          <w:bCs/>
          <w:lang w:bidi="ar-EG"/>
        </w:rPr>
        <w:t xml:space="preserve"> </w:t>
      </w:r>
    </w:p>
    <w:p w:rsidR="001D18E7" w:rsidRPr="00C410BE" w:rsidRDefault="001D18E7" w:rsidP="001D18E7">
      <w:pPr>
        <w:jc w:val="both"/>
        <w:rPr>
          <w:b/>
          <w:bCs/>
          <w:u w:val="single"/>
          <w:lang w:bidi="ar-EG"/>
        </w:rPr>
      </w:pPr>
      <w:r w:rsidRPr="00C410BE">
        <w:rPr>
          <w:b/>
          <w:bCs/>
          <w:u w:val="single"/>
          <w:lang w:bidi="ar-EG"/>
        </w:rPr>
        <w:t>Claim 4:</w:t>
      </w:r>
    </w:p>
    <w:p w:rsidR="007D2557" w:rsidRDefault="001D18E7" w:rsidP="0040148B">
      <w:pPr>
        <w:jc w:val="both"/>
        <w:rPr>
          <w:lang w:bidi="ar-EG"/>
        </w:rPr>
      </w:pPr>
      <w:r>
        <w:rPr>
          <w:lang w:bidi="ar-EG"/>
        </w:rPr>
        <w:t>Imposing safeguard measures on aluminum products will rule out competition in exportation markets</w:t>
      </w:r>
      <w:r w:rsidR="00C410BE">
        <w:rPr>
          <w:lang w:bidi="ar-EG"/>
        </w:rPr>
        <w:t xml:space="preserve"> since the duties imposed on</w:t>
      </w:r>
      <w:r>
        <w:rPr>
          <w:lang w:bidi="ar-EG"/>
        </w:rPr>
        <w:t xml:space="preserve"> ore will lead to a rise in the cost of the final re-exported product</w:t>
      </w:r>
      <w:r w:rsidR="00381F3A">
        <w:rPr>
          <w:lang w:bidi="ar-EG"/>
        </w:rPr>
        <w:t>. If</w:t>
      </w:r>
      <w:r w:rsidR="00C410BE">
        <w:rPr>
          <w:lang w:bidi="ar-EG"/>
        </w:rPr>
        <w:t>,</w:t>
      </w:r>
      <w:r w:rsidR="00381F3A">
        <w:rPr>
          <w:lang w:bidi="ar-EG"/>
        </w:rPr>
        <w:t xml:space="preserve"> hypothetically speaking</w:t>
      </w:r>
      <w:r w:rsidR="00C410BE">
        <w:rPr>
          <w:lang w:bidi="ar-EG"/>
        </w:rPr>
        <w:t>,</w:t>
      </w:r>
      <w:r w:rsidR="00381F3A">
        <w:rPr>
          <w:lang w:bidi="ar-EG"/>
        </w:rPr>
        <w:t xml:space="preserve"> solving the </w:t>
      </w:r>
      <w:r w:rsidR="0040148B">
        <w:rPr>
          <w:lang w:bidi="ar-EG"/>
        </w:rPr>
        <w:t xml:space="preserve">exportation </w:t>
      </w:r>
      <w:r w:rsidR="00381F3A">
        <w:rPr>
          <w:lang w:bidi="ar-EG"/>
        </w:rPr>
        <w:t xml:space="preserve">problems </w:t>
      </w:r>
      <w:r w:rsidR="0040148B">
        <w:rPr>
          <w:lang w:bidi="ar-EG"/>
        </w:rPr>
        <w:t>ensu</w:t>
      </w:r>
      <w:r w:rsidR="00381F3A">
        <w:rPr>
          <w:lang w:bidi="ar-EG"/>
        </w:rPr>
        <w:t xml:space="preserve">ing from imposing safeguard measures is </w:t>
      </w:r>
      <w:r w:rsidR="00971981">
        <w:rPr>
          <w:lang w:bidi="ar-EG"/>
        </w:rPr>
        <w:t xml:space="preserve">applying </w:t>
      </w:r>
      <w:r w:rsidR="00381F3A">
        <w:rPr>
          <w:lang w:bidi="ar-EG"/>
        </w:rPr>
        <w:t xml:space="preserve">the drawback system on imports of raw material with the purpose of manufacturing for </w:t>
      </w:r>
      <w:proofErr w:type="gramStart"/>
      <w:r w:rsidR="00381F3A">
        <w:rPr>
          <w:lang w:bidi="ar-EG"/>
        </w:rPr>
        <w:t>exportation,</w:t>
      </w:r>
      <w:proofErr w:type="gramEnd"/>
      <w:r w:rsidR="00381F3A">
        <w:rPr>
          <w:lang w:bidi="ar-EG"/>
        </w:rPr>
        <w:t xml:space="preserve"> this system may be the available alternative for the companies that work on exporting final products. However, companies’ registration in </w:t>
      </w:r>
      <w:r w:rsidR="00B1304C">
        <w:rPr>
          <w:lang w:bidi="ar-EG"/>
        </w:rPr>
        <w:t>the drawback system take</w:t>
      </w:r>
      <w:r w:rsidR="00A9609F">
        <w:rPr>
          <w:lang w:bidi="ar-EG"/>
        </w:rPr>
        <w:t>s</w:t>
      </w:r>
      <w:r w:rsidR="00B1304C">
        <w:rPr>
          <w:lang w:bidi="ar-EG"/>
        </w:rPr>
        <w:t xml:space="preserve"> time and has special procedures. Most of the companies working in Egypt did not register in this system due to cost and administrative </w:t>
      </w:r>
      <w:r w:rsidR="00921D2D">
        <w:rPr>
          <w:lang w:bidi="ar-EG"/>
        </w:rPr>
        <w:t>arrangements</w:t>
      </w:r>
      <w:r w:rsidR="00B1304C">
        <w:rPr>
          <w:lang w:bidi="ar-EG"/>
        </w:rPr>
        <w:t xml:space="preserve">. </w:t>
      </w:r>
    </w:p>
    <w:p w:rsidR="007D2557" w:rsidRPr="00896B2B" w:rsidRDefault="007D2557" w:rsidP="001D18E7">
      <w:pPr>
        <w:jc w:val="both"/>
        <w:rPr>
          <w:b/>
          <w:bCs/>
          <w:lang w:bidi="ar-EG"/>
        </w:rPr>
      </w:pPr>
      <w:r w:rsidRPr="00896B2B">
        <w:rPr>
          <w:b/>
          <w:bCs/>
          <w:lang w:bidi="ar-EG"/>
        </w:rPr>
        <w:t xml:space="preserve">Response: </w:t>
      </w:r>
    </w:p>
    <w:p w:rsidR="007A63FD" w:rsidRPr="007A63FD" w:rsidRDefault="007D2557" w:rsidP="00032A1A">
      <w:pPr>
        <w:jc w:val="both"/>
        <w:rPr>
          <w:b/>
          <w:bCs/>
          <w:lang w:bidi="ar-EG"/>
        </w:rPr>
      </w:pPr>
      <w:r w:rsidRPr="007A63FD">
        <w:rPr>
          <w:b/>
          <w:bCs/>
          <w:lang w:bidi="ar-EG"/>
        </w:rPr>
        <w:t xml:space="preserve">The Investigating Authority is studying the impact of imports on the injury to local industry in the local market in accordance to article (2-4A) and studies the competition in the local market among other reasons of injury; it is not concerned with competition in exportation markets. As indicated in the previous response, safeguard duties do not target banning the full access of imports, rather target regulating their access </w:t>
      </w:r>
      <w:r w:rsidR="007375DB" w:rsidRPr="007A63FD">
        <w:rPr>
          <w:b/>
          <w:bCs/>
          <w:lang w:bidi="ar-EG"/>
        </w:rPr>
        <w:t xml:space="preserve">and helping realize fair competition in the Egyptian market in addition to giving the local industry an opportunity to </w:t>
      </w:r>
      <w:r w:rsidR="00FE1AFA" w:rsidRPr="007A63FD">
        <w:rPr>
          <w:b/>
          <w:bCs/>
          <w:lang w:bidi="ar-EG"/>
        </w:rPr>
        <w:t>adapt their statuses and recover from the injurious impacts of substantial increa</w:t>
      </w:r>
      <w:r w:rsidR="0033149E" w:rsidRPr="007A63FD">
        <w:rPr>
          <w:b/>
          <w:bCs/>
          <w:lang w:bidi="ar-EG"/>
        </w:rPr>
        <w:t>s</w:t>
      </w:r>
      <w:r w:rsidR="00FE1AFA" w:rsidRPr="007A63FD">
        <w:rPr>
          <w:b/>
          <w:bCs/>
          <w:lang w:bidi="ar-EG"/>
        </w:rPr>
        <w:t xml:space="preserve">e of imports so as to be </w:t>
      </w:r>
      <w:r w:rsidR="00032A1A">
        <w:rPr>
          <w:b/>
          <w:bCs/>
          <w:lang w:bidi="ar-EG"/>
        </w:rPr>
        <w:t>cap</w:t>
      </w:r>
      <w:r w:rsidR="00FE1AFA" w:rsidRPr="007A63FD">
        <w:rPr>
          <w:b/>
          <w:bCs/>
          <w:lang w:bidi="ar-EG"/>
        </w:rPr>
        <w:t xml:space="preserve">able of competing with such increasing imports after </w:t>
      </w:r>
      <w:r w:rsidR="0033149E" w:rsidRPr="007A63FD">
        <w:rPr>
          <w:b/>
          <w:bCs/>
          <w:lang w:bidi="ar-EG"/>
        </w:rPr>
        <w:t>duties phase comes to an end</w:t>
      </w:r>
      <w:r w:rsidR="00896B2B" w:rsidRPr="007A63FD">
        <w:rPr>
          <w:b/>
          <w:bCs/>
          <w:lang w:bidi="ar-EG"/>
        </w:rPr>
        <w:t>. Furthermore,</w:t>
      </w:r>
      <w:r w:rsidR="00032A1A">
        <w:rPr>
          <w:b/>
          <w:bCs/>
          <w:lang w:bidi="ar-EG"/>
        </w:rPr>
        <w:t xml:space="preserve"> safeguard duties</w:t>
      </w:r>
      <w:r w:rsidR="00A9609F" w:rsidRPr="007A63FD">
        <w:rPr>
          <w:b/>
          <w:bCs/>
          <w:lang w:bidi="ar-EG"/>
        </w:rPr>
        <w:t xml:space="preserve"> </w:t>
      </w:r>
      <w:r w:rsidR="008956E0" w:rsidRPr="007A63FD">
        <w:rPr>
          <w:b/>
          <w:bCs/>
          <w:lang w:bidi="ar-EG"/>
        </w:rPr>
        <w:t xml:space="preserve">are obligatorily introduced or nullified with </w:t>
      </w:r>
      <w:r w:rsidR="00032A1A">
        <w:rPr>
          <w:b/>
          <w:bCs/>
          <w:lang w:bidi="ar-EG"/>
        </w:rPr>
        <w:t xml:space="preserve">customs </w:t>
      </w:r>
      <w:r w:rsidR="008956E0" w:rsidRPr="007A63FD">
        <w:rPr>
          <w:b/>
          <w:bCs/>
          <w:lang w:bidi="ar-EG"/>
        </w:rPr>
        <w:t>duties</w:t>
      </w:r>
      <w:r w:rsidR="00032A1A">
        <w:rPr>
          <w:b/>
          <w:bCs/>
          <w:lang w:bidi="ar-EG"/>
        </w:rPr>
        <w:t>.</w:t>
      </w:r>
      <w:r w:rsidR="008956E0" w:rsidRPr="007A63FD">
        <w:rPr>
          <w:b/>
          <w:bCs/>
          <w:lang w:bidi="ar-EG"/>
        </w:rPr>
        <w:t xml:space="preserve"> </w:t>
      </w:r>
      <w:r w:rsidR="00032A1A" w:rsidRPr="007A63FD">
        <w:rPr>
          <w:b/>
          <w:bCs/>
          <w:lang w:bidi="ar-EG"/>
        </w:rPr>
        <w:t>Therefore</w:t>
      </w:r>
      <w:r w:rsidR="008956E0" w:rsidRPr="007A63FD">
        <w:rPr>
          <w:b/>
          <w:bCs/>
          <w:lang w:bidi="ar-EG"/>
        </w:rPr>
        <w:t xml:space="preserve">, they may be refunded under any of the customs system at </w:t>
      </w:r>
      <w:r w:rsidR="007A63FD" w:rsidRPr="007A63FD">
        <w:rPr>
          <w:b/>
          <w:bCs/>
          <w:lang w:bidi="ar-EG"/>
        </w:rPr>
        <w:t xml:space="preserve">exportation. </w:t>
      </w:r>
    </w:p>
    <w:p w:rsidR="007A63FD" w:rsidRPr="006B49C9" w:rsidRDefault="007A63FD" w:rsidP="001D18E7">
      <w:pPr>
        <w:jc w:val="both"/>
        <w:rPr>
          <w:b/>
          <w:bCs/>
          <w:u w:val="single"/>
          <w:lang w:bidi="ar-EG"/>
        </w:rPr>
      </w:pPr>
      <w:r w:rsidRPr="006B49C9">
        <w:rPr>
          <w:b/>
          <w:bCs/>
          <w:u w:val="single"/>
          <w:lang w:bidi="ar-EG"/>
        </w:rPr>
        <w:t>Claim 5:</w:t>
      </w:r>
    </w:p>
    <w:p w:rsidR="00C524D3" w:rsidRDefault="001D229C" w:rsidP="001D229C">
      <w:pPr>
        <w:jc w:val="both"/>
        <w:rPr>
          <w:lang w:bidi="ar-EG"/>
        </w:rPr>
      </w:pPr>
      <w:proofErr w:type="gramStart"/>
      <w:r>
        <w:rPr>
          <w:lang w:bidi="ar-EG"/>
        </w:rPr>
        <w:t xml:space="preserve">The incapacity of </w:t>
      </w:r>
      <w:proofErr w:type="spellStart"/>
      <w:r w:rsidR="007A63FD">
        <w:rPr>
          <w:lang w:bidi="ar-EG"/>
        </w:rPr>
        <w:t>Misr</w:t>
      </w:r>
      <w:proofErr w:type="spellEnd"/>
      <w:r w:rsidR="007A63FD">
        <w:rPr>
          <w:lang w:bidi="ar-EG"/>
        </w:rPr>
        <w:t xml:space="preserve"> Aluminum Company </w:t>
      </w:r>
      <w:r>
        <w:rPr>
          <w:lang w:bidi="ar-EG"/>
        </w:rPr>
        <w:t>to</w:t>
      </w:r>
      <w:r w:rsidR="00FE7988">
        <w:rPr>
          <w:lang w:bidi="ar-EG"/>
        </w:rPr>
        <w:t xml:space="preserve"> </w:t>
      </w:r>
      <w:r w:rsidR="007A63FD">
        <w:rPr>
          <w:lang w:bidi="ar-EG"/>
        </w:rPr>
        <w:t xml:space="preserve">meet the needs of all the local factories and companies including the necessary monthly production </w:t>
      </w:r>
      <w:r w:rsidR="00FE7988">
        <w:rPr>
          <w:lang w:bidi="ar-EG"/>
        </w:rPr>
        <w:t>inputs especially that</w:t>
      </w:r>
      <w:r w:rsidR="00C524D3">
        <w:rPr>
          <w:lang w:bidi="ar-EG"/>
        </w:rPr>
        <w:t xml:space="preserve"> the </w:t>
      </w:r>
      <w:r w:rsidR="00FE7988">
        <w:rPr>
          <w:lang w:bidi="ar-EG"/>
        </w:rPr>
        <w:t>C</w:t>
      </w:r>
      <w:r w:rsidR="00C524D3">
        <w:rPr>
          <w:lang w:bidi="ar-EG"/>
        </w:rPr>
        <w:t xml:space="preserve">ompany has external contractual obligations to export a </w:t>
      </w:r>
      <w:r w:rsidR="00FE7988">
        <w:rPr>
          <w:lang w:bidi="ar-EG"/>
        </w:rPr>
        <w:t xml:space="preserve">significant </w:t>
      </w:r>
      <w:r w:rsidR="00C524D3">
        <w:rPr>
          <w:lang w:bidi="ar-EG"/>
        </w:rPr>
        <w:t>share</w:t>
      </w:r>
      <w:r w:rsidR="00FE7988">
        <w:rPr>
          <w:lang w:bidi="ar-EG"/>
        </w:rPr>
        <w:t xml:space="preserve"> of its production</w:t>
      </w:r>
      <w:r w:rsidR="00C524D3">
        <w:rPr>
          <w:lang w:bidi="ar-EG"/>
        </w:rPr>
        <w:t xml:space="preserve"> </w:t>
      </w:r>
      <w:r w:rsidR="00FE7988">
        <w:rPr>
          <w:lang w:bidi="ar-EG"/>
        </w:rPr>
        <w:t>of the items subject to</w:t>
      </w:r>
      <w:r w:rsidR="00C524D3">
        <w:rPr>
          <w:lang w:bidi="ar-EG"/>
        </w:rPr>
        <w:t xml:space="preserve"> complaint will</w:t>
      </w:r>
      <w:r w:rsidR="00DF64B8">
        <w:rPr>
          <w:lang w:bidi="ar-EG"/>
        </w:rPr>
        <w:t xml:space="preserve"> lead to the instability of </w:t>
      </w:r>
      <w:r w:rsidR="00C524D3">
        <w:rPr>
          <w:lang w:bidi="ar-EG"/>
        </w:rPr>
        <w:t>production and planning process</w:t>
      </w:r>
      <w:r>
        <w:rPr>
          <w:lang w:bidi="ar-EG"/>
        </w:rPr>
        <w:t>es</w:t>
      </w:r>
      <w:r w:rsidR="00C524D3">
        <w:rPr>
          <w:lang w:bidi="ar-EG"/>
        </w:rPr>
        <w:t xml:space="preserve"> of </w:t>
      </w:r>
      <w:r>
        <w:rPr>
          <w:lang w:bidi="ar-EG"/>
        </w:rPr>
        <w:t xml:space="preserve">the </w:t>
      </w:r>
      <w:r w:rsidR="00C524D3">
        <w:rPr>
          <w:lang w:bidi="ar-EG"/>
        </w:rPr>
        <w:t>companies and factories working in the local market, and consequently the exit of such factories from the market.</w:t>
      </w:r>
      <w:proofErr w:type="gramEnd"/>
    </w:p>
    <w:p w:rsidR="00921D2D" w:rsidRDefault="00921D2D" w:rsidP="001D18E7">
      <w:pPr>
        <w:jc w:val="both"/>
        <w:rPr>
          <w:b/>
          <w:bCs/>
          <w:lang w:bidi="ar-EG"/>
        </w:rPr>
      </w:pPr>
    </w:p>
    <w:p w:rsidR="00C524D3" w:rsidRPr="001D229C" w:rsidRDefault="00C524D3" w:rsidP="001D18E7">
      <w:pPr>
        <w:jc w:val="both"/>
        <w:rPr>
          <w:b/>
          <w:bCs/>
          <w:lang w:bidi="ar-EG"/>
        </w:rPr>
      </w:pPr>
      <w:r w:rsidRPr="001D229C">
        <w:rPr>
          <w:b/>
          <w:bCs/>
          <w:lang w:bidi="ar-EG"/>
        </w:rPr>
        <w:lastRenderedPageBreak/>
        <w:t xml:space="preserve">Response: </w:t>
      </w:r>
    </w:p>
    <w:p w:rsidR="006537BF" w:rsidRPr="001D229C" w:rsidRDefault="00C524D3" w:rsidP="00DF64B8">
      <w:pPr>
        <w:jc w:val="both"/>
        <w:rPr>
          <w:b/>
          <w:bCs/>
          <w:lang w:bidi="ar-EG"/>
        </w:rPr>
      </w:pPr>
      <w:r w:rsidRPr="001D229C">
        <w:rPr>
          <w:b/>
          <w:bCs/>
          <w:lang w:bidi="ar-EG"/>
        </w:rPr>
        <w:t>The Investiga</w:t>
      </w:r>
      <w:r w:rsidR="0056564D">
        <w:rPr>
          <w:b/>
          <w:bCs/>
          <w:lang w:bidi="ar-EG"/>
        </w:rPr>
        <w:t>ting Authority, during its investigation</w:t>
      </w:r>
      <w:r w:rsidRPr="001D229C">
        <w:rPr>
          <w:b/>
          <w:bCs/>
          <w:lang w:bidi="ar-EG"/>
        </w:rPr>
        <w:t xml:space="preserve"> visit, realized the </w:t>
      </w:r>
      <w:r w:rsidR="00DF64B8">
        <w:rPr>
          <w:b/>
          <w:bCs/>
          <w:lang w:bidi="ar-EG"/>
        </w:rPr>
        <w:t>invalidity</w:t>
      </w:r>
      <w:r w:rsidRPr="001D229C">
        <w:rPr>
          <w:b/>
          <w:bCs/>
          <w:lang w:bidi="ar-EG"/>
        </w:rPr>
        <w:t xml:space="preserve"> of the claim on the </w:t>
      </w:r>
      <w:proofErr w:type="gramStart"/>
      <w:r w:rsidRPr="001D229C">
        <w:rPr>
          <w:b/>
          <w:bCs/>
          <w:lang w:bidi="ar-EG"/>
        </w:rPr>
        <w:t>company’s</w:t>
      </w:r>
      <w:proofErr w:type="gramEnd"/>
      <w:r w:rsidRPr="001D229C">
        <w:rPr>
          <w:b/>
          <w:bCs/>
          <w:lang w:bidi="ar-EG"/>
        </w:rPr>
        <w:t xml:space="preserve"> furnishing its products to the external market at the expense of the local market</w:t>
      </w:r>
      <w:r w:rsidR="0056564D">
        <w:rPr>
          <w:b/>
          <w:bCs/>
          <w:lang w:bidi="ar-EG"/>
        </w:rPr>
        <w:t>.</w:t>
      </w:r>
      <w:r w:rsidRPr="001D229C">
        <w:rPr>
          <w:b/>
          <w:bCs/>
          <w:lang w:bidi="ar-EG"/>
        </w:rPr>
        <w:t xml:space="preserve"> </w:t>
      </w:r>
      <w:r w:rsidR="0056564D">
        <w:rPr>
          <w:b/>
          <w:bCs/>
          <w:lang w:bidi="ar-EG"/>
        </w:rPr>
        <w:t>T</w:t>
      </w:r>
      <w:r w:rsidRPr="001D229C">
        <w:rPr>
          <w:b/>
          <w:bCs/>
          <w:lang w:bidi="ar-EG"/>
        </w:rPr>
        <w:t>he local industry concludes contract</w:t>
      </w:r>
      <w:r w:rsidR="0056564D">
        <w:rPr>
          <w:b/>
          <w:bCs/>
          <w:lang w:bidi="ar-EG"/>
        </w:rPr>
        <w:t>s</w:t>
      </w:r>
      <w:r w:rsidRPr="001D229C">
        <w:rPr>
          <w:b/>
          <w:bCs/>
          <w:lang w:bidi="ar-EG"/>
        </w:rPr>
        <w:t xml:space="preserve"> for selling in the local market and the reason behind the increase of export sales is the inability of the company to sell in the local market because of the increasing imports. Despite the drop in demand in the first half of 2019/2020, imports increasingly accessed the Egyptian market</w:t>
      </w:r>
      <w:r w:rsidR="006537BF" w:rsidRPr="001D229C">
        <w:rPr>
          <w:b/>
          <w:bCs/>
          <w:lang w:bidi="ar-EG"/>
        </w:rPr>
        <w:t xml:space="preserve">. In return, local sales dropped in comparison to a similar period in 2016/2017. Furthermore, as indicated in the previous response, safeguard </w:t>
      </w:r>
      <w:r w:rsidR="0056564D">
        <w:rPr>
          <w:b/>
          <w:bCs/>
          <w:lang w:bidi="ar-EG"/>
        </w:rPr>
        <w:t>duties</w:t>
      </w:r>
      <w:r w:rsidR="006537BF" w:rsidRPr="001D229C">
        <w:rPr>
          <w:b/>
          <w:bCs/>
          <w:lang w:bidi="ar-EG"/>
        </w:rPr>
        <w:t xml:space="preserve"> do not target full ban of import access, rather target regulating their access and realizing fair competition in the Egyptian market. </w:t>
      </w:r>
    </w:p>
    <w:p w:rsidR="006537BF" w:rsidRPr="0056564D" w:rsidRDefault="006537BF" w:rsidP="001D18E7">
      <w:pPr>
        <w:jc w:val="both"/>
        <w:rPr>
          <w:b/>
          <w:bCs/>
          <w:u w:val="single"/>
          <w:lang w:bidi="ar-EG"/>
        </w:rPr>
      </w:pPr>
      <w:r w:rsidRPr="0056564D">
        <w:rPr>
          <w:b/>
          <w:bCs/>
          <w:u w:val="single"/>
          <w:lang w:bidi="ar-EG"/>
        </w:rPr>
        <w:t>Claim 6:</w:t>
      </w:r>
    </w:p>
    <w:p w:rsidR="001D18E7" w:rsidRDefault="006537BF" w:rsidP="00957D87">
      <w:pPr>
        <w:jc w:val="both"/>
        <w:rPr>
          <w:lang w:bidi="ar-EG"/>
        </w:rPr>
      </w:pPr>
      <w:r>
        <w:rPr>
          <w:lang w:bidi="ar-EG"/>
        </w:rPr>
        <w:t xml:space="preserve">The refusal of </w:t>
      </w:r>
      <w:proofErr w:type="spellStart"/>
      <w:r>
        <w:rPr>
          <w:lang w:bidi="ar-EG"/>
        </w:rPr>
        <w:t>Misr</w:t>
      </w:r>
      <w:proofErr w:type="spellEnd"/>
      <w:r>
        <w:rPr>
          <w:lang w:bidi="ar-EG"/>
        </w:rPr>
        <w:t xml:space="preserve"> Aluminum Company to disclose its production capacity, a main prerequisite for the companies working in Egypt</w:t>
      </w:r>
      <w:r w:rsidR="0056564D">
        <w:rPr>
          <w:lang w:bidi="ar-EG"/>
        </w:rPr>
        <w:t>;</w:t>
      </w:r>
      <w:r>
        <w:rPr>
          <w:lang w:bidi="ar-EG"/>
        </w:rPr>
        <w:t xml:space="preserve"> competition entails knowing the capacity of the </w:t>
      </w:r>
      <w:r w:rsidR="000E2ABF">
        <w:rPr>
          <w:lang w:bidi="ar-EG"/>
        </w:rPr>
        <w:t>only supplier to</w:t>
      </w:r>
      <w:r w:rsidR="003037E6">
        <w:rPr>
          <w:lang w:bidi="ar-EG"/>
        </w:rPr>
        <w:t xml:space="preserve"> meet the demand</w:t>
      </w:r>
      <w:r>
        <w:rPr>
          <w:lang w:bidi="ar-EG"/>
        </w:rPr>
        <w:t xml:space="preserve">s of the market for the time being </w:t>
      </w:r>
      <w:r w:rsidR="0056564D">
        <w:rPr>
          <w:lang w:bidi="ar-EG"/>
        </w:rPr>
        <w:t>based on</w:t>
      </w:r>
      <w:r>
        <w:rPr>
          <w:lang w:bidi="ar-EG"/>
        </w:rPr>
        <w:t xml:space="preserve"> the </w:t>
      </w:r>
      <w:r w:rsidR="0056564D">
        <w:rPr>
          <w:lang w:bidi="ar-EG"/>
        </w:rPr>
        <w:t xml:space="preserve">requirements </w:t>
      </w:r>
      <w:r>
        <w:rPr>
          <w:lang w:bidi="ar-EG"/>
        </w:rPr>
        <w:t xml:space="preserve">of local producers not </w:t>
      </w:r>
      <w:r w:rsidR="0056564D">
        <w:rPr>
          <w:lang w:bidi="ar-EG"/>
        </w:rPr>
        <w:t xml:space="preserve">on </w:t>
      </w:r>
      <w:r>
        <w:rPr>
          <w:lang w:bidi="ar-EG"/>
        </w:rPr>
        <w:t xml:space="preserve">what is available according to </w:t>
      </w:r>
      <w:proofErr w:type="spellStart"/>
      <w:r>
        <w:rPr>
          <w:lang w:bidi="ar-EG"/>
        </w:rPr>
        <w:t>Misr</w:t>
      </w:r>
      <w:proofErr w:type="spellEnd"/>
      <w:r>
        <w:rPr>
          <w:lang w:bidi="ar-EG"/>
        </w:rPr>
        <w:t xml:space="preserve"> Aluminum Company’s plan. Furthermore, the</w:t>
      </w:r>
      <w:r w:rsidR="00D46975">
        <w:rPr>
          <w:lang w:bidi="ar-EG"/>
        </w:rPr>
        <w:t>re is a</w:t>
      </w:r>
      <w:r>
        <w:rPr>
          <w:lang w:bidi="ar-EG"/>
        </w:rPr>
        <w:t xml:space="preserve"> need to know the expansion plan of the Company</w:t>
      </w:r>
      <w:r w:rsidR="00D46975">
        <w:rPr>
          <w:lang w:bidi="ar-EG"/>
        </w:rPr>
        <w:t xml:space="preserve"> </w:t>
      </w:r>
      <w:r w:rsidR="000E2ABF">
        <w:rPr>
          <w:lang w:bidi="ar-EG"/>
        </w:rPr>
        <w:t>to learn the extent of its ability to meet market needs, the expected growth of production capacity, and the number of factories in the Egyptian market. In addition</w:t>
      </w:r>
      <w:r w:rsidR="003037E6">
        <w:rPr>
          <w:lang w:bidi="ar-EG"/>
        </w:rPr>
        <w:t>,</w:t>
      </w:r>
      <w:r w:rsidR="000E2ABF">
        <w:rPr>
          <w:lang w:bidi="ar-EG"/>
        </w:rPr>
        <w:t xml:space="preserve"> the local product is not available in the same amount or the same specifications of imports </w:t>
      </w:r>
      <w:r w:rsidR="001C24D2">
        <w:rPr>
          <w:lang w:bidi="ar-EG"/>
        </w:rPr>
        <w:t xml:space="preserve">i.e., the </w:t>
      </w:r>
      <w:r w:rsidR="00957D87">
        <w:rPr>
          <w:lang w:bidi="ar-EG"/>
        </w:rPr>
        <w:t>proportions</w:t>
      </w:r>
      <w:r w:rsidR="001C24D2">
        <w:rPr>
          <w:lang w:bidi="ar-EG"/>
        </w:rPr>
        <w:t xml:space="preserve"> of chemical components of cylinders, </w:t>
      </w:r>
      <w:proofErr w:type="spellStart"/>
      <w:r w:rsidR="001C24D2">
        <w:rPr>
          <w:lang w:bidi="ar-EG"/>
        </w:rPr>
        <w:t>moulds</w:t>
      </w:r>
      <w:proofErr w:type="spellEnd"/>
      <w:r w:rsidR="001C24D2">
        <w:rPr>
          <w:lang w:bidi="ar-EG"/>
        </w:rPr>
        <w:t xml:space="preserve"> and formations of cylinder spheres. </w:t>
      </w:r>
    </w:p>
    <w:p w:rsidR="001C24D2" w:rsidRPr="00957D87" w:rsidRDefault="001C24D2" w:rsidP="000E2ABF">
      <w:pPr>
        <w:jc w:val="both"/>
        <w:rPr>
          <w:b/>
          <w:bCs/>
          <w:lang w:bidi="ar-EG"/>
        </w:rPr>
      </w:pPr>
      <w:r w:rsidRPr="00957D87">
        <w:rPr>
          <w:b/>
          <w:bCs/>
          <w:lang w:bidi="ar-EG"/>
        </w:rPr>
        <w:t xml:space="preserve">Response: </w:t>
      </w:r>
    </w:p>
    <w:p w:rsidR="007E7589" w:rsidRPr="00957D87" w:rsidRDefault="001C24D2" w:rsidP="00FB01AC">
      <w:pPr>
        <w:jc w:val="both"/>
        <w:rPr>
          <w:b/>
          <w:bCs/>
          <w:lang w:bidi="ar-EG"/>
        </w:rPr>
      </w:pPr>
      <w:r w:rsidRPr="00957D87">
        <w:rPr>
          <w:b/>
          <w:bCs/>
          <w:lang w:bidi="ar-EG"/>
        </w:rPr>
        <w:t xml:space="preserve">The Company has submitted a description on production capacity in the complaint as one of the factors of confidential data. In addition, </w:t>
      </w:r>
      <w:r w:rsidR="002B54F1" w:rsidRPr="00957D87">
        <w:rPr>
          <w:b/>
          <w:bCs/>
          <w:lang w:bidi="ar-EG"/>
        </w:rPr>
        <w:t>as regards the claim o</w:t>
      </w:r>
      <w:r w:rsidR="00957D87">
        <w:rPr>
          <w:b/>
          <w:bCs/>
          <w:lang w:bidi="ar-EG"/>
        </w:rPr>
        <w:t>f</w:t>
      </w:r>
      <w:r w:rsidR="002B54F1" w:rsidRPr="00957D87">
        <w:rPr>
          <w:b/>
          <w:bCs/>
          <w:lang w:bidi="ar-EG"/>
        </w:rPr>
        <w:t xml:space="preserve"> the lack of the local products in the same amounts imported and that it differs in specifications from the imported product, this claim i</w:t>
      </w:r>
      <w:r w:rsidR="00FB01AC">
        <w:rPr>
          <w:b/>
          <w:bCs/>
          <w:lang w:bidi="ar-EG"/>
        </w:rPr>
        <w:t>s invalid</w:t>
      </w:r>
      <w:r w:rsidR="002B54F1" w:rsidRPr="00957D87">
        <w:rPr>
          <w:b/>
          <w:bCs/>
          <w:lang w:bidi="ar-EG"/>
        </w:rPr>
        <w:t xml:space="preserve">. During its field visit, the Investigating Authority found that </w:t>
      </w:r>
      <w:r w:rsidR="0070550C" w:rsidRPr="00957D87">
        <w:rPr>
          <w:b/>
          <w:bCs/>
          <w:lang w:bidi="ar-EG"/>
        </w:rPr>
        <w:t xml:space="preserve">the local industry, though it could not utilize its </w:t>
      </w:r>
      <w:r w:rsidR="00FB01AC">
        <w:rPr>
          <w:b/>
          <w:bCs/>
          <w:lang w:bidi="ar-EG"/>
        </w:rPr>
        <w:t>full</w:t>
      </w:r>
      <w:r w:rsidR="00FB01AC" w:rsidRPr="00957D87">
        <w:rPr>
          <w:b/>
          <w:bCs/>
          <w:lang w:bidi="ar-EG"/>
        </w:rPr>
        <w:t xml:space="preserve"> </w:t>
      </w:r>
      <w:r w:rsidR="0070550C" w:rsidRPr="00957D87">
        <w:rPr>
          <w:b/>
          <w:bCs/>
          <w:lang w:bidi="ar-EG"/>
        </w:rPr>
        <w:t xml:space="preserve">production capacity (see table 4-2), </w:t>
      </w:r>
      <w:r w:rsidR="00FB01AC">
        <w:rPr>
          <w:b/>
          <w:bCs/>
          <w:lang w:bidi="ar-EG"/>
        </w:rPr>
        <w:t xml:space="preserve">it </w:t>
      </w:r>
      <w:r w:rsidR="0070550C" w:rsidRPr="00957D87">
        <w:rPr>
          <w:b/>
          <w:bCs/>
          <w:lang w:bidi="ar-EG"/>
        </w:rPr>
        <w:t>has had an increasing st</w:t>
      </w:r>
      <w:r w:rsidR="00FB01AC">
        <w:rPr>
          <w:b/>
          <w:bCs/>
          <w:lang w:bidi="ar-EG"/>
        </w:rPr>
        <w:t>ock</w:t>
      </w:r>
      <w:r w:rsidR="0070550C" w:rsidRPr="00957D87">
        <w:rPr>
          <w:b/>
          <w:bCs/>
          <w:lang w:bidi="ar-EG"/>
        </w:rPr>
        <w:t xml:space="preserve"> over the investigated period that it could not sell though it is not producing in</w:t>
      </w:r>
      <w:r w:rsidR="0027022E">
        <w:rPr>
          <w:b/>
          <w:bCs/>
          <w:lang w:bidi="ar-EG"/>
        </w:rPr>
        <w:t xml:space="preserve"> the</w:t>
      </w:r>
      <w:r w:rsidR="0070550C" w:rsidRPr="00957D87">
        <w:rPr>
          <w:b/>
          <w:bCs/>
          <w:lang w:bidi="ar-EG"/>
        </w:rPr>
        <w:t xml:space="preserve"> full available capacity</w:t>
      </w:r>
      <w:r w:rsidR="004930C0" w:rsidRPr="00957D87">
        <w:rPr>
          <w:b/>
          <w:bCs/>
          <w:lang w:bidi="ar-EG"/>
        </w:rPr>
        <w:t xml:space="preserve">. This indicates the </w:t>
      </w:r>
      <w:r w:rsidR="00FB01AC">
        <w:rPr>
          <w:b/>
          <w:bCs/>
          <w:lang w:bidi="ar-EG"/>
        </w:rPr>
        <w:t>invalidity</w:t>
      </w:r>
      <w:r w:rsidR="004930C0" w:rsidRPr="00957D87">
        <w:rPr>
          <w:b/>
          <w:bCs/>
          <w:lang w:bidi="ar-EG"/>
        </w:rPr>
        <w:t xml:space="preserve"> of </w:t>
      </w:r>
      <w:r w:rsidR="000E4952" w:rsidRPr="00957D87">
        <w:rPr>
          <w:b/>
          <w:bCs/>
          <w:lang w:bidi="ar-EG"/>
        </w:rPr>
        <w:t>the claim relevant to the incapacity of the complainant to meet market needs or its preference to export at the expense of local sale. Rather</w:t>
      </w:r>
      <w:r w:rsidR="00FB01AC">
        <w:rPr>
          <w:b/>
          <w:bCs/>
          <w:lang w:bidi="ar-EG"/>
        </w:rPr>
        <w:t>,</w:t>
      </w:r>
      <w:r w:rsidR="000E4952" w:rsidRPr="00957D87">
        <w:rPr>
          <w:b/>
          <w:bCs/>
          <w:lang w:bidi="ar-EG"/>
        </w:rPr>
        <w:t xml:space="preserve"> it indicates the preference of some parties to import at the expense of purchasing from the local industry</w:t>
      </w:r>
      <w:r w:rsidR="00C42581" w:rsidRPr="00957D87">
        <w:rPr>
          <w:b/>
          <w:bCs/>
          <w:lang w:bidi="ar-EG"/>
        </w:rPr>
        <w:t xml:space="preserve">. Furthermore, in accordance to </w:t>
      </w:r>
      <w:r w:rsidR="00291F20">
        <w:rPr>
          <w:b/>
          <w:bCs/>
          <w:lang w:bidi="ar-EG"/>
        </w:rPr>
        <w:t xml:space="preserve">the </w:t>
      </w:r>
      <w:r w:rsidR="00C42581" w:rsidRPr="00957D87">
        <w:rPr>
          <w:b/>
          <w:bCs/>
          <w:lang w:bidi="ar-EG"/>
        </w:rPr>
        <w:t xml:space="preserve">international agreement, imposing </w:t>
      </w:r>
      <w:r w:rsidR="008D530C">
        <w:rPr>
          <w:b/>
          <w:bCs/>
          <w:lang w:bidi="ar-EG"/>
        </w:rPr>
        <w:t>dutie</w:t>
      </w:r>
      <w:r w:rsidR="00C42581" w:rsidRPr="00957D87">
        <w:rPr>
          <w:b/>
          <w:bCs/>
          <w:lang w:bidi="ar-EG"/>
        </w:rPr>
        <w:t>s is not conditional to the ability of the industry to cover the local market fully.</w:t>
      </w:r>
      <w:r w:rsidR="008D530C">
        <w:rPr>
          <w:b/>
          <w:bCs/>
          <w:lang w:bidi="ar-EG"/>
        </w:rPr>
        <w:t xml:space="preserve"> Safeguard dutie</w:t>
      </w:r>
      <w:r w:rsidR="00C42581" w:rsidRPr="00957D87">
        <w:rPr>
          <w:b/>
          <w:bCs/>
          <w:lang w:bidi="ar-EG"/>
        </w:rPr>
        <w:t xml:space="preserve">s do not target banning the full access of imports, rather regulating their access </w:t>
      </w:r>
      <w:r w:rsidR="00C150E9" w:rsidRPr="00957D87">
        <w:rPr>
          <w:b/>
          <w:bCs/>
          <w:lang w:bidi="ar-EG"/>
        </w:rPr>
        <w:t xml:space="preserve">and realizing fair competition in the Egyptian market. Therefore, the local market may meet its needs </w:t>
      </w:r>
      <w:r w:rsidR="008D530C">
        <w:rPr>
          <w:b/>
          <w:bCs/>
          <w:lang w:bidi="ar-EG"/>
        </w:rPr>
        <w:t>through</w:t>
      </w:r>
      <w:r w:rsidR="00C150E9" w:rsidRPr="00957D87">
        <w:rPr>
          <w:b/>
          <w:bCs/>
          <w:lang w:bidi="ar-EG"/>
        </w:rPr>
        <w:t xml:space="preserve"> import</w:t>
      </w:r>
      <w:r w:rsidR="008D530C">
        <w:rPr>
          <w:b/>
          <w:bCs/>
          <w:lang w:bidi="ar-EG"/>
        </w:rPr>
        <w:t>ing</w:t>
      </w:r>
      <w:r w:rsidR="00C150E9" w:rsidRPr="00957D87">
        <w:rPr>
          <w:b/>
          <w:bCs/>
          <w:lang w:bidi="ar-EG"/>
        </w:rPr>
        <w:t xml:space="preserve"> in fair shares as well. Further to the above, the industry has presented a structural modification plan that indicates the orientation of the industry to increase its production capacity. In addition, the Investigating Authority has concluded that the product of the local industry and the concerned product (imported) have the same physical properties, method of manufacturing, channels of distribution, and uses; there is a possibility of replacing each other as they are similar and competitive products.  </w:t>
      </w:r>
    </w:p>
    <w:p w:rsidR="007E7589" w:rsidRPr="008D530C" w:rsidRDefault="007E7589" w:rsidP="00C42581">
      <w:pPr>
        <w:jc w:val="both"/>
        <w:rPr>
          <w:b/>
          <w:bCs/>
          <w:u w:val="single"/>
          <w:lang w:bidi="ar-EG"/>
        </w:rPr>
      </w:pPr>
      <w:r w:rsidRPr="008D530C">
        <w:rPr>
          <w:b/>
          <w:bCs/>
          <w:u w:val="single"/>
          <w:lang w:bidi="ar-EG"/>
        </w:rPr>
        <w:t>Claim 7:</w:t>
      </w:r>
    </w:p>
    <w:p w:rsidR="001C24D2" w:rsidRDefault="007E7589" w:rsidP="0094741F">
      <w:pPr>
        <w:jc w:val="both"/>
        <w:rPr>
          <w:lang w:bidi="ar-EG"/>
        </w:rPr>
      </w:pPr>
      <w:r>
        <w:rPr>
          <w:lang w:bidi="ar-EG"/>
        </w:rPr>
        <w:lastRenderedPageBreak/>
        <w:t xml:space="preserve">The local product may be similar to some amounts of the imported product, but not all the imported amounts of cylinders and aluminum </w:t>
      </w:r>
      <w:proofErr w:type="spellStart"/>
      <w:r>
        <w:rPr>
          <w:lang w:bidi="ar-EG"/>
        </w:rPr>
        <w:t>moulds</w:t>
      </w:r>
      <w:proofErr w:type="spellEnd"/>
      <w:r>
        <w:rPr>
          <w:lang w:bidi="ar-EG"/>
        </w:rPr>
        <w:t xml:space="preserve"> </w:t>
      </w:r>
      <w:r w:rsidR="0033143D">
        <w:rPr>
          <w:lang w:bidi="ar-EG"/>
        </w:rPr>
        <w:t xml:space="preserve">that </w:t>
      </w:r>
      <w:r>
        <w:rPr>
          <w:lang w:bidi="ar-EG"/>
        </w:rPr>
        <w:t xml:space="preserve">are </w:t>
      </w:r>
      <w:r w:rsidR="00377879">
        <w:rPr>
          <w:lang w:bidi="ar-EG"/>
        </w:rPr>
        <w:t xml:space="preserve">imported with </w:t>
      </w:r>
      <w:r w:rsidR="0094741F">
        <w:rPr>
          <w:lang w:bidi="ar-EG"/>
        </w:rPr>
        <w:t xml:space="preserve">specifications </w:t>
      </w:r>
      <w:r w:rsidR="00377879">
        <w:rPr>
          <w:lang w:bidi="ar-EG"/>
        </w:rPr>
        <w:t>different fr</w:t>
      </w:r>
      <w:r w:rsidR="0033143D">
        <w:rPr>
          <w:lang w:bidi="ar-EG"/>
        </w:rPr>
        <w:t>om the local product and in diamete</w:t>
      </w:r>
      <w:r w:rsidR="00377879">
        <w:rPr>
          <w:lang w:bidi="ar-EG"/>
        </w:rPr>
        <w:t xml:space="preserve">rs/sizes different from the local product, taking into consideration the flexibility </w:t>
      </w:r>
      <w:r w:rsidR="000043CA">
        <w:rPr>
          <w:lang w:bidi="ar-EG"/>
        </w:rPr>
        <w:t>of global suppliers to</w:t>
      </w:r>
      <w:r w:rsidR="00377879">
        <w:rPr>
          <w:lang w:bidi="ar-EG"/>
        </w:rPr>
        <w:t xml:space="preserve"> produc</w:t>
      </w:r>
      <w:r w:rsidR="000043CA">
        <w:rPr>
          <w:lang w:bidi="ar-EG"/>
        </w:rPr>
        <w:t>e</w:t>
      </w:r>
      <w:r w:rsidR="00377879">
        <w:rPr>
          <w:lang w:bidi="ar-EG"/>
        </w:rPr>
        <w:t xml:space="preserve"> formations of </w:t>
      </w:r>
      <w:proofErr w:type="spellStart"/>
      <w:r w:rsidR="00377879">
        <w:rPr>
          <w:lang w:bidi="ar-EG"/>
        </w:rPr>
        <w:t>moulds</w:t>
      </w:r>
      <w:proofErr w:type="spellEnd"/>
      <w:r w:rsidR="00377879">
        <w:rPr>
          <w:lang w:bidi="ar-EG"/>
        </w:rPr>
        <w:t xml:space="preserve"> and cylinders of aluminum ore in big amounts with different specifications according to the needs of producers, a main reason that leads Egyptian producers to import.</w:t>
      </w:r>
      <w:r w:rsidR="0094741F">
        <w:rPr>
          <w:lang w:bidi="ar-EG"/>
        </w:rPr>
        <w:t xml:space="preserve"> </w:t>
      </w:r>
    </w:p>
    <w:p w:rsidR="00377879" w:rsidRPr="000043CA" w:rsidRDefault="00377879" w:rsidP="00377879">
      <w:pPr>
        <w:jc w:val="both"/>
        <w:rPr>
          <w:b/>
          <w:bCs/>
          <w:lang w:bidi="ar-EG"/>
        </w:rPr>
      </w:pPr>
      <w:r w:rsidRPr="000043CA">
        <w:rPr>
          <w:b/>
          <w:bCs/>
          <w:lang w:bidi="ar-EG"/>
        </w:rPr>
        <w:t>Response:</w:t>
      </w:r>
    </w:p>
    <w:p w:rsidR="00317F70" w:rsidRPr="000043CA" w:rsidRDefault="00377879" w:rsidP="0040470B">
      <w:pPr>
        <w:jc w:val="both"/>
        <w:rPr>
          <w:b/>
          <w:bCs/>
          <w:lang w:bidi="ar-EG"/>
        </w:rPr>
      </w:pPr>
      <w:r w:rsidRPr="000043CA">
        <w:rPr>
          <w:b/>
          <w:bCs/>
          <w:lang w:bidi="ar-EG"/>
        </w:rPr>
        <w:t xml:space="preserve">Nothing has been submitted to prove the validity of the claim; the Investigating Authority concluded that the product of the local industry and the concerned product (imported) have the same physical properties, methods of manufacturing, channels of distribution, and uses and that there is a possibility of replacing each other; they are similar and competitive products.  In addition, in its field visit to the industry, the Investigating Authority verified that the local industry has the capacity of producing all the sizes </w:t>
      </w:r>
      <w:r w:rsidR="00317F70" w:rsidRPr="000043CA">
        <w:rPr>
          <w:b/>
          <w:bCs/>
          <w:lang w:bidi="ar-EG"/>
        </w:rPr>
        <w:t xml:space="preserve">and </w:t>
      </w:r>
      <w:r w:rsidR="008052C5">
        <w:rPr>
          <w:b/>
          <w:bCs/>
          <w:lang w:bidi="ar-EG"/>
        </w:rPr>
        <w:t>diamete</w:t>
      </w:r>
      <w:r w:rsidR="00317F70" w:rsidRPr="000043CA">
        <w:rPr>
          <w:b/>
          <w:bCs/>
          <w:lang w:bidi="ar-EG"/>
        </w:rPr>
        <w:t xml:space="preserve">rs of the products subject </w:t>
      </w:r>
      <w:r w:rsidR="0040470B">
        <w:rPr>
          <w:b/>
          <w:bCs/>
          <w:lang w:bidi="ar-EG"/>
        </w:rPr>
        <w:t>to</w:t>
      </w:r>
      <w:r w:rsidR="00317F70" w:rsidRPr="000043CA">
        <w:rPr>
          <w:b/>
          <w:bCs/>
          <w:lang w:bidi="ar-EG"/>
        </w:rPr>
        <w:t xml:space="preserve"> investigation. </w:t>
      </w:r>
    </w:p>
    <w:p w:rsidR="005C3D00" w:rsidRPr="00AB3A53" w:rsidRDefault="005C3D00" w:rsidP="00377879">
      <w:pPr>
        <w:jc w:val="both"/>
        <w:rPr>
          <w:b/>
          <w:bCs/>
          <w:u w:val="single"/>
          <w:lang w:bidi="ar-EG"/>
        </w:rPr>
      </w:pPr>
      <w:r w:rsidRPr="00AB3A53">
        <w:rPr>
          <w:b/>
          <w:bCs/>
          <w:u w:val="single"/>
          <w:lang w:bidi="ar-EG"/>
        </w:rPr>
        <w:t>Claim 8:</w:t>
      </w:r>
    </w:p>
    <w:p w:rsidR="00391E89" w:rsidRDefault="005C3D00" w:rsidP="00AB3A53">
      <w:pPr>
        <w:jc w:val="both"/>
        <w:rPr>
          <w:lang w:bidi="ar-EG"/>
        </w:rPr>
      </w:pPr>
      <w:proofErr w:type="spellStart"/>
      <w:proofErr w:type="gramStart"/>
      <w:r>
        <w:rPr>
          <w:lang w:bidi="ar-EG"/>
        </w:rPr>
        <w:t>Misr</w:t>
      </w:r>
      <w:proofErr w:type="spellEnd"/>
      <w:r>
        <w:rPr>
          <w:lang w:bidi="ar-EG"/>
        </w:rPr>
        <w:t xml:space="preserve"> Aluminum Company determines additional </w:t>
      </w:r>
      <w:r w:rsidR="00052671">
        <w:rPr>
          <w:lang w:bidi="ar-EG"/>
        </w:rPr>
        <w:t xml:space="preserve">price differences, </w:t>
      </w:r>
      <w:r w:rsidR="00391E89">
        <w:rPr>
          <w:lang w:bidi="ar-EG"/>
        </w:rPr>
        <w:t>(</w:t>
      </w:r>
      <w:r w:rsidR="00052671">
        <w:rPr>
          <w:lang w:bidi="ar-EG"/>
        </w:rPr>
        <w:t>for example the price of supplying 5-i</w:t>
      </w:r>
      <w:r w:rsidR="00682F9A">
        <w:rPr>
          <w:lang w:bidi="ar-EG"/>
        </w:rPr>
        <w:t xml:space="preserve">nch </w:t>
      </w:r>
      <w:r w:rsidR="00052671">
        <w:rPr>
          <w:lang w:bidi="ar-EG"/>
        </w:rPr>
        <w:t>aluminum cylinders</w:t>
      </w:r>
      <w:r w:rsidR="000D21A2">
        <w:rPr>
          <w:lang w:bidi="ar-EG"/>
        </w:rPr>
        <w:t xml:space="preserve"> is 3% above the price of supplying 7-inch aluminum cylinders while the final product is the same and the price is the same which is aluminum profiles</w:t>
      </w:r>
      <w:r w:rsidR="00391E89">
        <w:rPr>
          <w:lang w:bidi="ar-EG"/>
        </w:rPr>
        <w:t xml:space="preserve">) incurred by the factory in case of purchasing from </w:t>
      </w:r>
      <w:proofErr w:type="spellStart"/>
      <w:r w:rsidR="00391E89">
        <w:rPr>
          <w:lang w:bidi="ar-EG"/>
        </w:rPr>
        <w:t>Misr</w:t>
      </w:r>
      <w:proofErr w:type="spellEnd"/>
      <w:r w:rsidR="00391E89">
        <w:rPr>
          <w:lang w:bidi="ar-EG"/>
        </w:rPr>
        <w:t xml:space="preserve"> Aluminum Company according to spec</w:t>
      </w:r>
      <w:r w:rsidR="00AB3A53">
        <w:rPr>
          <w:lang w:bidi="ar-EG"/>
        </w:rPr>
        <w:t>ification</w:t>
      </w:r>
      <w:r w:rsidR="00391E89">
        <w:rPr>
          <w:lang w:bidi="ar-EG"/>
        </w:rPr>
        <w:t>s, d</w:t>
      </w:r>
      <w:r w:rsidR="00BE439C">
        <w:rPr>
          <w:lang w:bidi="ar-EG"/>
        </w:rPr>
        <w:t>iameters and sizes, unlike world</w:t>
      </w:r>
      <w:r w:rsidR="00391E89">
        <w:rPr>
          <w:lang w:bidi="ar-EG"/>
        </w:rPr>
        <w:t xml:space="preserve"> suppliers</w:t>
      </w:r>
      <w:r w:rsidR="00AB3A53">
        <w:rPr>
          <w:lang w:bidi="ar-EG"/>
        </w:rPr>
        <w:t>.</w:t>
      </w:r>
      <w:proofErr w:type="gramEnd"/>
      <w:r w:rsidR="00391E89">
        <w:rPr>
          <w:lang w:bidi="ar-EG"/>
        </w:rPr>
        <w:t xml:space="preserve"> </w:t>
      </w:r>
      <w:r w:rsidR="00AB3A53">
        <w:rPr>
          <w:lang w:bidi="ar-EG"/>
        </w:rPr>
        <w:t xml:space="preserve">This </w:t>
      </w:r>
      <w:r w:rsidR="00391E89">
        <w:rPr>
          <w:lang w:bidi="ar-EG"/>
        </w:rPr>
        <w:t xml:space="preserve">aspect disrupts the determination of the cost and price of the final product. </w:t>
      </w:r>
    </w:p>
    <w:p w:rsidR="00391E89" w:rsidRPr="00AB3A53" w:rsidRDefault="00391E89" w:rsidP="00391E89">
      <w:pPr>
        <w:jc w:val="both"/>
        <w:rPr>
          <w:b/>
          <w:bCs/>
          <w:lang w:bidi="ar-EG"/>
        </w:rPr>
      </w:pPr>
      <w:r w:rsidRPr="00AB3A53">
        <w:rPr>
          <w:b/>
          <w:bCs/>
          <w:lang w:bidi="ar-EG"/>
        </w:rPr>
        <w:t>Response:</w:t>
      </w:r>
    </w:p>
    <w:p w:rsidR="00391E89" w:rsidRPr="00AB3A53" w:rsidRDefault="00391E89" w:rsidP="00587072">
      <w:pPr>
        <w:jc w:val="both"/>
        <w:rPr>
          <w:b/>
          <w:bCs/>
          <w:lang w:bidi="ar-EG"/>
        </w:rPr>
      </w:pPr>
      <w:r w:rsidRPr="00AB3A53">
        <w:rPr>
          <w:b/>
          <w:bCs/>
          <w:lang w:bidi="ar-EG"/>
        </w:rPr>
        <w:t xml:space="preserve">The Investigating Authority, during its investigation visit, has researched all cost factors of the concerned products, and there was not any disruption in cost. In addition, logical wise, the difference of prices of supplying Aluminum cylinders </w:t>
      </w:r>
      <w:proofErr w:type="gramStart"/>
      <w:r w:rsidRPr="00AB3A53">
        <w:rPr>
          <w:b/>
          <w:bCs/>
          <w:lang w:bidi="ar-EG"/>
        </w:rPr>
        <w:t>is based</w:t>
      </w:r>
      <w:proofErr w:type="gramEnd"/>
      <w:r w:rsidRPr="00AB3A53">
        <w:rPr>
          <w:b/>
          <w:bCs/>
          <w:lang w:bidi="ar-EG"/>
        </w:rPr>
        <w:t xml:space="preserve"> on the cost of production that </w:t>
      </w:r>
      <w:r w:rsidR="00AB3A53">
        <w:rPr>
          <w:b/>
          <w:bCs/>
          <w:lang w:bidi="ar-EG"/>
        </w:rPr>
        <w:t>increas</w:t>
      </w:r>
      <w:r w:rsidRPr="00AB3A53">
        <w:rPr>
          <w:b/>
          <w:bCs/>
          <w:lang w:bidi="ar-EG"/>
        </w:rPr>
        <w:t>es when the size of diameter decreases</w:t>
      </w:r>
      <w:r w:rsidR="00587072">
        <w:rPr>
          <w:b/>
          <w:bCs/>
          <w:lang w:bidi="ar-EG"/>
        </w:rPr>
        <w:t>,</w:t>
      </w:r>
      <w:r w:rsidR="008D68E5">
        <w:rPr>
          <w:b/>
          <w:bCs/>
          <w:lang w:bidi="ar-EG"/>
        </w:rPr>
        <w:t xml:space="preserve"> since it</w:t>
      </w:r>
      <w:r w:rsidRPr="00AB3A53">
        <w:rPr>
          <w:b/>
          <w:bCs/>
          <w:lang w:bidi="ar-EG"/>
        </w:rPr>
        <w:t xml:space="preserve"> needs additional industrial processes more th</w:t>
      </w:r>
      <w:r w:rsidR="008B5AC2" w:rsidRPr="00AB3A53">
        <w:rPr>
          <w:b/>
          <w:bCs/>
          <w:lang w:bidi="ar-EG"/>
        </w:rPr>
        <w:t xml:space="preserve">an </w:t>
      </w:r>
      <w:r w:rsidR="00307518">
        <w:rPr>
          <w:b/>
          <w:bCs/>
          <w:lang w:bidi="ar-EG"/>
        </w:rPr>
        <w:t>that</w:t>
      </w:r>
      <w:r w:rsidR="008B5AC2" w:rsidRPr="00AB3A53">
        <w:rPr>
          <w:b/>
          <w:bCs/>
          <w:lang w:bidi="ar-EG"/>
        </w:rPr>
        <w:t xml:space="preserve"> of bigger diameters</w:t>
      </w:r>
      <w:r w:rsidR="00587072">
        <w:rPr>
          <w:b/>
          <w:bCs/>
          <w:lang w:bidi="ar-EG"/>
        </w:rPr>
        <w:t>.</w:t>
      </w:r>
      <w:r w:rsidRPr="00AB3A53">
        <w:rPr>
          <w:b/>
          <w:bCs/>
          <w:lang w:bidi="ar-EG"/>
        </w:rPr>
        <w:t xml:space="preserve"> </w:t>
      </w:r>
      <w:r w:rsidR="00587072">
        <w:rPr>
          <w:b/>
          <w:bCs/>
          <w:lang w:bidi="ar-EG"/>
        </w:rPr>
        <w:t>This</w:t>
      </w:r>
      <w:r w:rsidRPr="00AB3A53">
        <w:rPr>
          <w:b/>
          <w:bCs/>
          <w:lang w:bidi="ar-EG"/>
        </w:rPr>
        <w:t xml:space="preserve"> leads to</w:t>
      </w:r>
      <w:r w:rsidR="00587072">
        <w:rPr>
          <w:b/>
          <w:bCs/>
          <w:lang w:bidi="ar-EG"/>
        </w:rPr>
        <w:t xml:space="preserve"> an</w:t>
      </w:r>
      <w:r w:rsidRPr="00AB3A53">
        <w:rPr>
          <w:b/>
          <w:bCs/>
          <w:lang w:bidi="ar-EG"/>
        </w:rPr>
        <w:t xml:space="preserve"> increased cost, consequently increased sale price more than that of bigger diameters. </w:t>
      </w:r>
    </w:p>
    <w:p w:rsidR="00391E89" w:rsidRPr="00587072" w:rsidRDefault="00391E89" w:rsidP="00391E89">
      <w:pPr>
        <w:jc w:val="both"/>
        <w:rPr>
          <w:b/>
          <w:bCs/>
          <w:u w:val="single"/>
          <w:lang w:bidi="ar-EG"/>
        </w:rPr>
      </w:pPr>
      <w:r w:rsidRPr="00587072">
        <w:rPr>
          <w:b/>
          <w:bCs/>
          <w:u w:val="single"/>
          <w:lang w:bidi="ar-EG"/>
        </w:rPr>
        <w:t>Claim 9:</w:t>
      </w:r>
    </w:p>
    <w:p w:rsidR="008B5AC2" w:rsidRDefault="00391E89" w:rsidP="00587072">
      <w:pPr>
        <w:jc w:val="both"/>
        <w:rPr>
          <w:lang w:bidi="ar-EG"/>
        </w:rPr>
      </w:pPr>
      <w:r>
        <w:rPr>
          <w:lang w:bidi="ar-EG"/>
        </w:rPr>
        <w:t xml:space="preserve">The import of ore and the export process of a final product takes no less than 8 weeks/cycle and with the lack of a definite timetable of decisions and the possibility of </w:t>
      </w:r>
      <w:r w:rsidR="00587072">
        <w:rPr>
          <w:lang w:bidi="ar-EG"/>
        </w:rPr>
        <w:t xml:space="preserve">sudden </w:t>
      </w:r>
      <w:r>
        <w:rPr>
          <w:lang w:bidi="ar-EG"/>
        </w:rPr>
        <w:t xml:space="preserve">safeguard measures, even if </w:t>
      </w:r>
      <w:r w:rsidR="008B5AC2">
        <w:rPr>
          <w:lang w:bidi="ar-EG"/>
        </w:rPr>
        <w:t>temporarily</w:t>
      </w:r>
      <w:r>
        <w:rPr>
          <w:lang w:bidi="ar-EG"/>
        </w:rPr>
        <w:t>,</w:t>
      </w:r>
      <w:r w:rsidR="008B5AC2">
        <w:rPr>
          <w:lang w:bidi="ar-EG"/>
        </w:rPr>
        <w:t xml:space="preserve"> kind of shakes the local market. This is why announced timetables should be set for the investigation procedures with a grace no less than 10 weeks between the </w:t>
      </w:r>
      <w:proofErr w:type="gramStart"/>
      <w:r w:rsidR="008B5AC2">
        <w:rPr>
          <w:lang w:bidi="ar-EG"/>
        </w:rPr>
        <w:t>decision</w:t>
      </w:r>
      <w:proofErr w:type="gramEnd"/>
      <w:r w:rsidR="008B5AC2">
        <w:rPr>
          <w:lang w:bidi="ar-EG"/>
        </w:rPr>
        <w:t xml:space="preserve"> of imposing safeguard measures</w:t>
      </w:r>
      <w:r w:rsidR="00587072">
        <w:rPr>
          <w:lang w:bidi="ar-EG"/>
        </w:rPr>
        <w:t>,</w:t>
      </w:r>
      <w:r w:rsidR="008B5AC2">
        <w:rPr>
          <w:lang w:bidi="ar-EG"/>
        </w:rPr>
        <w:t xml:space="preserve"> in case of endorsement</w:t>
      </w:r>
      <w:r w:rsidR="00587072">
        <w:rPr>
          <w:lang w:bidi="ar-EG"/>
        </w:rPr>
        <w:t>,</w:t>
      </w:r>
      <w:r w:rsidR="008B5AC2">
        <w:rPr>
          <w:lang w:bidi="ar-EG"/>
        </w:rPr>
        <w:t xml:space="preserve"> and its application on imports of the product subject </w:t>
      </w:r>
      <w:r w:rsidR="00587072">
        <w:rPr>
          <w:lang w:bidi="ar-EG"/>
        </w:rPr>
        <w:t>to</w:t>
      </w:r>
      <w:r w:rsidR="008B5AC2">
        <w:rPr>
          <w:lang w:bidi="ar-EG"/>
        </w:rPr>
        <w:t xml:space="preserve"> investigation.</w:t>
      </w:r>
    </w:p>
    <w:p w:rsidR="008B5AC2" w:rsidRPr="008D6A4A" w:rsidRDefault="008B5AC2" w:rsidP="00391E89">
      <w:pPr>
        <w:jc w:val="both"/>
        <w:rPr>
          <w:b/>
          <w:bCs/>
          <w:lang w:bidi="ar-EG"/>
        </w:rPr>
      </w:pPr>
      <w:r w:rsidRPr="008D6A4A">
        <w:rPr>
          <w:b/>
          <w:bCs/>
          <w:lang w:bidi="ar-EG"/>
        </w:rPr>
        <w:t>Response:</w:t>
      </w:r>
    </w:p>
    <w:p w:rsidR="008B5AC2" w:rsidRPr="008D6A4A" w:rsidRDefault="008B5AC2" w:rsidP="004D63BE">
      <w:pPr>
        <w:jc w:val="both"/>
        <w:rPr>
          <w:b/>
          <w:bCs/>
          <w:lang w:bidi="ar-EG"/>
        </w:rPr>
      </w:pPr>
      <w:r w:rsidRPr="008D6A4A">
        <w:rPr>
          <w:b/>
          <w:bCs/>
          <w:lang w:bidi="ar-EG"/>
        </w:rPr>
        <w:lastRenderedPageBreak/>
        <w:t>Issuing the decision of imposing safeguard measures is the authority of the Minister of Trade and Industry and the decree takes effect as of publication in the Official Gazette. Issuing such decree is preceded by drafting a final repor</w:t>
      </w:r>
      <w:r w:rsidR="00F04778">
        <w:rPr>
          <w:b/>
          <w:bCs/>
          <w:lang w:bidi="ar-EG"/>
        </w:rPr>
        <w:t>t post drafting a report on fundamental</w:t>
      </w:r>
      <w:r w:rsidRPr="008D6A4A">
        <w:rPr>
          <w:b/>
          <w:bCs/>
          <w:lang w:bidi="ar-EG"/>
        </w:rPr>
        <w:t xml:space="preserve"> facts and the findings realized by the Investigating Authority to be sent to all the concerned parties for comments. In addition</w:t>
      </w:r>
      <w:r w:rsidR="004D63BE">
        <w:rPr>
          <w:b/>
          <w:bCs/>
          <w:lang w:bidi="ar-EG"/>
        </w:rPr>
        <w:t>,</w:t>
      </w:r>
      <w:r w:rsidRPr="008D6A4A">
        <w:rPr>
          <w:b/>
          <w:bCs/>
          <w:lang w:bidi="ar-EG"/>
        </w:rPr>
        <w:t xml:space="preserve"> the WTO gets notified before imposing such </w:t>
      </w:r>
      <w:r w:rsidR="004D63BE">
        <w:rPr>
          <w:b/>
          <w:bCs/>
          <w:lang w:bidi="ar-EG"/>
        </w:rPr>
        <w:t>dutie</w:t>
      </w:r>
      <w:r w:rsidRPr="008D6A4A">
        <w:rPr>
          <w:b/>
          <w:bCs/>
          <w:lang w:bidi="ar-EG"/>
        </w:rPr>
        <w:t>s in accordance to article 12 of the International Agreement.</w:t>
      </w:r>
    </w:p>
    <w:p w:rsidR="008B5AC2" w:rsidRPr="004D63BE" w:rsidRDefault="008B5AC2" w:rsidP="00391E89">
      <w:pPr>
        <w:jc w:val="both"/>
        <w:rPr>
          <w:b/>
          <w:bCs/>
          <w:u w:val="single"/>
          <w:lang w:bidi="ar-EG"/>
        </w:rPr>
      </w:pPr>
      <w:r w:rsidRPr="004D63BE">
        <w:rPr>
          <w:b/>
          <w:bCs/>
          <w:u w:val="single"/>
          <w:lang w:bidi="ar-EG"/>
        </w:rPr>
        <w:t>Claim 10:</w:t>
      </w:r>
    </w:p>
    <w:p w:rsidR="00C16BA4" w:rsidRDefault="008B5AC2" w:rsidP="00083888">
      <w:pPr>
        <w:jc w:val="both"/>
        <w:rPr>
          <w:lang w:bidi="ar-EG"/>
        </w:rPr>
      </w:pPr>
      <w:r>
        <w:rPr>
          <w:lang w:bidi="ar-EG"/>
        </w:rPr>
        <w:t xml:space="preserve">In accordance to </w:t>
      </w:r>
      <w:r w:rsidR="004D63BE">
        <w:rPr>
          <w:lang w:bidi="ar-EG"/>
        </w:rPr>
        <w:t>the statistics received, there we</w:t>
      </w:r>
      <w:r>
        <w:rPr>
          <w:lang w:bidi="ar-EG"/>
        </w:rPr>
        <w:t xml:space="preserve">re two waves of </w:t>
      </w:r>
      <w:r w:rsidR="000609CC">
        <w:rPr>
          <w:lang w:bidi="ar-EG"/>
        </w:rPr>
        <w:t>increase of imports: the first was in 2015 and the second wa</w:t>
      </w:r>
      <w:r>
        <w:rPr>
          <w:lang w:bidi="ar-EG"/>
        </w:rPr>
        <w:t xml:space="preserve">s in 2018. Imports stabilized in 2019, but </w:t>
      </w:r>
      <w:proofErr w:type="spellStart"/>
      <w:r>
        <w:rPr>
          <w:lang w:bidi="ar-EG"/>
        </w:rPr>
        <w:t>Misr</w:t>
      </w:r>
      <w:proofErr w:type="spellEnd"/>
      <w:r>
        <w:rPr>
          <w:lang w:bidi="ar-EG"/>
        </w:rPr>
        <w:t xml:space="preserve"> Aluminum submitted the complaint in 2020. Therefore, the conditions of starting safeguard investigations are not available. In addition, the imports of aluminum products show a different trend for each product separately</w:t>
      </w:r>
      <w:r w:rsidR="00083888">
        <w:rPr>
          <w:lang w:bidi="ar-EG"/>
        </w:rPr>
        <w:t>.</w:t>
      </w:r>
      <w:r>
        <w:rPr>
          <w:lang w:bidi="ar-EG"/>
        </w:rPr>
        <w:t xml:space="preserve"> </w:t>
      </w:r>
      <w:r w:rsidR="00083888">
        <w:rPr>
          <w:lang w:bidi="ar-EG"/>
        </w:rPr>
        <w:t>Therefore</w:t>
      </w:r>
      <w:r>
        <w:rPr>
          <w:lang w:bidi="ar-EG"/>
        </w:rPr>
        <w:t>, the</w:t>
      </w:r>
      <w:r w:rsidR="00C16BA4">
        <w:rPr>
          <w:lang w:bidi="ar-EG"/>
        </w:rPr>
        <w:t xml:space="preserve">y cannot be all gathered in the investigation, they must be separated in determining the injury of each product. It is necessary also to determine the volume of imports </w:t>
      </w:r>
      <w:r w:rsidR="00083888">
        <w:rPr>
          <w:lang w:bidi="ar-EG"/>
        </w:rPr>
        <w:t>of each product separately as distributed on countries in order</w:t>
      </w:r>
      <w:r w:rsidR="00C16BA4">
        <w:rPr>
          <w:lang w:bidi="ar-EG"/>
        </w:rPr>
        <w:t xml:space="preserve"> to be able to know the excluded developing countries whose share of </w:t>
      </w:r>
      <w:r w:rsidR="00083888">
        <w:rPr>
          <w:lang w:bidi="ar-EG"/>
        </w:rPr>
        <w:t xml:space="preserve">the </w:t>
      </w:r>
      <w:r w:rsidR="00C16BA4">
        <w:rPr>
          <w:lang w:bidi="ar-EG"/>
        </w:rPr>
        <w:t>total amount of imports is less than 3%.</w:t>
      </w:r>
    </w:p>
    <w:p w:rsidR="00C16BA4" w:rsidRPr="008373FF" w:rsidRDefault="00C16BA4" w:rsidP="00C16BA4">
      <w:pPr>
        <w:jc w:val="both"/>
        <w:rPr>
          <w:b/>
          <w:bCs/>
          <w:lang w:bidi="ar-EG"/>
        </w:rPr>
      </w:pPr>
      <w:r w:rsidRPr="008373FF">
        <w:rPr>
          <w:b/>
          <w:bCs/>
          <w:lang w:bidi="ar-EG"/>
        </w:rPr>
        <w:t xml:space="preserve">Response: </w:t>
      </w:r>
    </w:p>
    <w:p w:rsidR="00C16BA4" w:rsidRPr="008373FF" w:rsidRDefault="00C16BA4" w:rsidP="007E1F93">
      <w:pPr>
        <w:jc w:val="both"/>
        <w:rPr>
          <w:b/>
          <w:bCs/>
          <w:lang w:bidi="ar-EG"/>
        </w:rPr>
      </w:pPr>
      <w:r w:rsidRPr="008373FF">
        <w:rPr>
          <w:b/>
          <w:bCs/>
          <w:lang w:bidi="ar-EG"/>
        </w:rPr>
        <w:t>The Investigating Authority relied on the period 2016/2017 and 2018/2019 and the first half of 2019/2020 to search the increase of imports</w:t>
      </w:r>
      <w:r w:rsidR="008373FF">
        <w:rPr>
          <w:b/>
          <w:bCs/>
          <w:lang w:bidi="ar-EG"/>
        </w:rPr>
        <w:t>,</w:t>
      </w:r>
      <w:r w:rsidRPr="008373FF">
        <w:rPr>
          <w:b/>
          <w:bCs/>
          <w:lang w:bidi="ar-EG"/>
        </w:rPr>
        <w:t xml:space="preserve"> the injury to industry</w:t>
      </w:r>
      <w:r w:rsidR="008373FF">
        <w:rPr>
          <w:b/>
          <w:bCs/>
          <w:lang w:bidi="ar-EG"/>
        </w:rPr>
        <w:t>,</w:t>
      </w:r>
      <w:r w:rsidRPr="008373FF">
        <w:rPr>
          <w:b/>
          <w:bCs/>
          <w:lang w:bidi="ar-EG"/>
        </w:rPr>
        <w:t xml:space="preserve"> and the causal link between them. Furthermore, the Investigating Authority has determined the product subject </w:t>
      </w:r>
      <w:r w:rsidR="007E1F93">
        <w:rPr>
          <w:b/>
          <w:bCs/>
          <w:lang w:bidi="ar-EG"/>
        </w:rPr>
        <w:t>to</w:t>
      </w:r>
      <w:r w:rsidRPr="008373FF">
        <w:rPr>
          <w:b/>
          <w:bCs/>
          <w:lang w:bidi="ar-EG"/>
        </w:rPr>
        <w:t xml:space="preserve"> investigation in the second part of this report to include </w:t>
      </w:r>
      <w:proofErr w:type="spellStart"/>
      <w:r w:rsidRPr="008373FF">
        <w:rPr>
          <w:b/>
          <w:bCs/>
          <w:lang w:bidi="ar-EG"/>
        </w:rPr>
        <w:t>moulds</w:t>
      </w:r>
      <w:proofErr w:type="spellEnd"/>
      <w:r w:rsidRPr="008373FF">
        <w:rPr>
          <w:b/>
          <w:bCs/>
          <w:lang w:bidi="ar-EG"/>
        </w:rPr>
        <w:t>, wires, and cylinders. It searched each product separately, however, it saw a possibility of gathering such products based on the following:</w:t>
      </w:r>
    </w:p>
    <w:p w:rsidR="004135A7" w:rsidRPr="008373FF" w:rsidRDefault="00C16BA4" w:rsidP="000D53F8">
      <w:pPr>
        <w:pStyle w:val="ListParagraph"/>
        <w:numPr>
          <w:ilvl w:val="0"/>
          <w:numId w:val="7"/>
        </w:numPr>
        <w:jc w:val="both"/>
        <w:rPr>
          <w:b/>
          <w:bCs/>
          <w:lang w:bidi="ar-EG"/>
        </w:rPr>
      </w:pPr>
      <w:r w:rsidRPr="008373FF">
        <w:rPr>
          <w:b/>
          <w:bCs/>
          <w:lang w:bidi="ar-EG"/>
        </w:rPr>
        <w:t xml:space="preserve">It was not mentioned in any of the regulations or the WTO Safeguard Measures a definition </w:t>
      </w:r>
      <w:r w:rsidR="00242BF7" w:rsidRPr="008373FF">
        <w:rPr>
          <w:b/>
          <w:bCs/>
          <w:lang w:bidi="ar-EG"/>
        </w:rPr>
        <w:t>of the product subjec</w:t>
      </w:r>
      <w:r w:rsidR="000D53F8" w:rsidRPr="008373FF">
        <w:rPr>
          <w:b/>
          <w:bCs/>
          <w:lang w:bidi="ar-EG"/>
        </w:rPr>
        <w:t>t to investigation and the Investigating Authority has an evaluative authority in de</w:t>
      </w:r>
      <w:r w:rsidR="0075363E">
        <w:rPr>
          <w:b/>
          <w:bCs/>
          <w:lang w:bidi="ar-EG"/>
        </w:rPr>
        <w:t>termining the product subject to</w:t>
      </w:r>
      <w:r w:rsidR="000D53F8" w:rsidRPr="008373FF">
        <w:rPr>
          <w:b/>
          <w:bCs/>
          <w:lang w:bidi="ar-EG"/>
        </w:rPr>
        <w:t xml:space="preserve"> investigation. In this case, the Investigating Authority may gather these products in one product subject to investigation or investigate them as separate products. </w:t>
      </w:r>
    </w:p>
    <w:p w:rsidR="00B26A21" w:rsidRPr="008373FF" w:rsidRDefault="004135A7" w:rsidP="0075363E">
      <w:pPr>
        <w:pStyle w:val="ListParagraph"/>
        <w:numPr>
          <w:ilvl w:val="0"/>
          <w:numId w:val="7"/>
        </w:numPr>
        <w:jc w:val="both"/>
        <w:rPr>
          <w:b/>
          <w:bCs/>
          <w:lang w:bidi="ar-EG"/>
        </w:rPr>
      </w:pPr>
      <w:r w:rsidRPr="008373FF">
        <w:rPr>
          <w:b/>
          <w:bCs/>
          <w:lang w:bidi="ar-EG"/>
        </w:rPr>
        <w:t xml:space="preserve">Furthermore, the </w:t>
      </w:r>
      <w:r w:rsidR="0075363E">
        <w:rPr>
          <w:b/>
          <w:bCs/>
          <w:lang w:bidi="ar-EG"/>
        </w:rPr>
        <w:t>Appellate Body</w:t>
      </w:r>
      <w:r w:rsidRPr="008373FF">
        <w:rPr>
          <w:b/>
          <w:bCs/>
          <w:lang w:bidi="ar-EG"/>
        </w:rPr>
        <w:t xml:space="preserve"> and </w:t>
      </w:r>
      <w:r w:rsidR="0075363E">
        <w:rPr>
          <w:b/>
          <w:bCs/>
          <w:lang w:bidi="ar-EG"/>
        </w:rPr>
        <w:t xml:space="preserve">the </w:t>
      </w:r>
      <w:r w:rsidRPr="008373FF">
        <w:rPr>
          <w:b/>
          <w:bCs/>
          <w:lang w:bidi="ar-EG"/>
        </w:rPr>
        <w:t xml:space="preserve">WTO arbitration teams recommended that the Investigating Authority would have a vast evaluative authority to </w:t>
      </w:r>
      <w:r w:rsidR="0075363E">
        <w:rPr>
          <w:b/>
          <w:bCs/>
          <w:lang w:bidi="ar-EG"/>
        </w:rPr>
        <w:t>determine the product subject to</w:t>
      </w:r>
      <w:r w:rsidRPr="008373FF">
        <w:rPr>
          <w:b/>
          <w:bCs/>
          <w:lang w:bidi="ar-EG"/>
        </w:rPr>
        <w:t xml:space="preserve"> investigation</w:t>
      </w:r>
      <w:r w:rsidR="00532651" w:rsidRPr="008373FF">
        <w:rPr>
          <w:b/>
          <w:bCs/>
          <w:lang w:bidi="ar-EG"/>
        </w:rPr>
        <w:t xml:space="preserve">, which may include various products based on the fact that the Safeguard Agreement </w:t>
      </w:r>
      <w:r w:rsidR="00B26A21" w:rsidRPr="008373FF">
        <w:rPr>
          <w:b/>
          <w:bCs/>
          <w:lang w:bidi="ar-EG"/>
        </w:rPr>
        <w:t xml:space="preserve">does not impose determined obligations as regards the definition of the product subject </w:t>
      </w:r>
      <w:r w:rsidR="0075363E">
        <w:rPr>
          <w:b/>
          <w:bCs/>
          <w:lang w:bidi="ar-EG"/>
        </w:rPr>
        <w:t>to</w:t>
      </w:r>
      <w:r w:rsidR="00B26A21" w:rsidRPr="008373FF">
        <w:rPr>
          <w:b/>
          <w:bCs/>
          <w:lang w:bidi="ar-EG"/>
        </w:rPr>
        <w:t xml:space="preserve"> investigation or its scope. </w:t>
      </w:r>
    </w:p>
    <w:p w:rsidR="00593640" w:rsidRPr="008373FF" w:rsidRDefault="00B26A21" w:rsidP="0075363E">
      <w:pPr>
        <w:pStyle w:val="ListParagraph"/>
        <w:numPr>
          <w:ilvl w:val="0"/>
          <w:numId w:val="7"/>
        </w:numPr>
        <w:jc w:val="both"/>
        <w:rPr>
          <w:b/>
          <w:bCs/>
          <w:lang w:bidi="ar-EG"/>
        </w:rPr>
      </w:pPr>
      <w:r w:rsidRPr="008373FF">
        <w:rPr>
          <w:b/>
          <w:bCs/>
          <w:lang w:bidi="ar-EG"/>
        </w:rPr>
        <w:t xml:space="preserve">Furthermore, having several products falling under one product subject </w:t>
      </w:r>
      <w:r w:rsidR="0075363E">
        <w:rPr>
          <w:b/>
          <w:bCs/>
          <w:lang w:bidi="ar-EG"/>
        </w:rPr>
        <w:t>to</w:t>
      </w:r>
      <w:r w:rsidRPr="008373FF">
        <w:rPr>
          <w:b/>
          <w:bCs/>
          <w:lang w:bidi="ar-EG"/>
        </w:rPr>
        <w:t xml:space="preserve"> investigation is still a common practice in many countries, including the European Union. In the context of the current safeguard measures imposed by the EU on iron and steel, the European Commission considered that the product subject to investigation is composed of 28 products </w:t>
      </w:r>
      <w:r w:rsidR="00593640" w:rsidRPr="008373FF">
        <w:rPr>
          <w:b/>
          <w:bCs/>
          <w:lang w:bidi="ar-EG"/>
        </w:rPr>
        <w:t xml:space="preserve">explaining that there are strong links between all categories of the product subject to investigation. </w:t>
      </w:r>
    </w:p>
    <w:p w:rsidR="00593640" w:rsidRPr="0075363E" w:rsidRDefault="00593640" w:rsidP="00593640">
      <w:pPr>
        <w:jc w:val="both"/>
        <w:rPr>
          <w:b/>
          <w:bCs/>
          <w:u w:val="single"/>
          <w:lang w:bidi="ar-EG"/>
        </w:rPr>
      </w:pPr>
      <w:r w:rsidRPr="0075363E">
        <w:rPr>
          <w:b/>
          <w:bCs/>
          <w:u w:val="single"/>
          <w:lang w:bidi="ar-EG"/>
        </w:rPr>
        <w:t xml:space="preserve">Claim 11: </w:t>
      </w:r>
    </w:p>
    <w:p w:rsidR="00390DB9" w:rsidRDefault="00593640" w:rsidP="009F7FA8">
      <w:pPr>
        <w:jc w:val="both"/>
        <w:rPr>
          <w:lang w:bidi="ar-EG"/>
        </w:rPr>
      </w:pPr>
      <w:r>
        <w:rPr>
          <w:lang w:bidi="ar-EG"/>
        </w:rPr>
        <w:lastRenderedPageBreak/>
        <w:t xml:space="preserve">The increase of imports since 2018 is due to the increase of the imports of main traditional exporters (Bahrain, the KSA, Oman, </w:t>
      </w:r>
      <w:r w:rsidR="0075363E">
        <w:rPr>
          <w:lang w:bidi="ar-EG"/>
        </w:rPr>
        <w:t>and the</w:t>
      </w:r>
      <w:r>
        <w:rPr>
          <w:lang w:bidi="ar-EG"/>
        </w:rPr>
        <w:t xml:space="preserve"> UAE). The share of such countries represent</w:t>
      </w:r>
      <w:r w:rsidR="0075363E">
        <w:rPr>
          <w:lang w:bidi="ar-EG"/>
        </w:rPr>
        <w:t xml:space="preserve">ed </w:t>
      </w:r>
      <w:r>
        <w:rPr>
          <w:lang w:bidi="ar-EG"/>
        </w:rPr>
        <w:t xml:space="preserve">71% in 2017, 96% in 2018, and 88% in 2019, bearing in mind that the imports of the member states of the Great Arab Free Trade Agreement (GAFTA) are </w:t>
      </w:r>
      <w:r w:rsidR="009F7FA8">
        <w:rPr>
          <w:lang w:bidi="ar-EG"/>
        </w:rPr>
        <w:t>exempt</w:t>
      </w:r>
      <w:r w:rsidR="009F7FA8">
        <w:rPr>
          <w:lang w:bidi="ar-EG"/>
        </w:rPr>
        <w:t xml:space="preserve"> from </w:t>
      </w:r>
      <w:r>
        <w:rPr>
          <w:lang w:bidi="ar-EG"/>
        </w:rPr>
        <w:t>customs, while the tariff imposed under the most-</w:t>
      </w:r>
      <w:proofErr w:type="spellStart"/>
      <w:r>
        <w:rPr>
          <w:lang w:bidi="ar-EG"/>
        </w:rPr>
        <w:t>favoured</w:t>
      </w:r>
      <w:proofErr w:type="spellEnd"/>
      <w:r>
        <w:rPr>
          <w:lang w:bidi="ar-EG"/>
        </w:rPr>
        <w:t xml:space="preserve">-nation context represents 20%. Therefore, the imports coming from Gulf countries are the reason behind the increase of imports to Egypt. </w:t>
      </w:r>
      <w:proofErr w:type="spellStart"/>
      <w:r>
        <w:rPr>
          <w:lang w:bidi="ar-EG"/>
        </w:rPr>
        <w:t>Misr</w:t>
      </w:r>
      <w:proofErr w:type="spellEnd"/>
      <w:r>
        <w:rPr>
          <w:lang w:bidi="ar-EG"/>
        </w:rPr>
        <w:t xml:space="preserve"> Aluminum Company has mentioned that Arab Gulf companies pose a gr</w:t>
      </w:r>
      <w:r w:rsidR="00CC58AB">
        <w:rPr>
          <w:lang w:bidi="ar-EG"/>
        </w:rPr>
        <w:t>ave danger to the local industry</w:t>
      </w:r>
      <w:r>
        <w:rPr>
          <w:lang w:bidi="ar-EG"/>
        </w:rPr>
        <w:t xml:space="preserve"> by providing Egyptian consumers more competitive circumstances </w:t>
      </w:r>
      <w:r w:rsidR="00053ACC">
        <w:rPr>
          <w:lang w:bidi="ar-EG"/>
        </w:rPr>
        <w:t>such</w:t>
      </w:r>
      <w:r w:rsidR="003228F5">
        <w:rPr>
          <w:lang w:bidi="ar-EG"/>
        </w:rPr>
        <w:t xml:space="preserve"> as lowered prices and deferred</w:t>
      </w:r>
      <w:r w:rsidR="00053ACC">
        <w:rPr>
          <w:lang w:bidi="ar-EG"/>
        </w:rPr>
        <w:t xml:space="preserve"> payments. This is why investigations on dumped imports from these sources should start if there is suspicion that dumping </w:t>
      </w:r>
      <w:proofErr w:type="gramStart"/>
      <w:r w:rsidR="00053ACC">
        <w:rPr>
          <w:lang w:bidi="ar-EG"/>
        </w:rPr>
        <w:t>is practiced</w:t>
      </w:r>
      <w:proofErr w:type="gramEnd"/>
      <w:r w:rsidR="00053ACC">
        <w:rPr>
          <w:lang w:bidi="ar-EG"/>
        </w:rPr>
        <w:t xml:space="preserve"> from certain sources</w:t>
      </w:r>
      <w:r w:rsidR="00AD4E74">
        <w:rPr>
          <w:lang w:bidi="ar-EG"/>
        </w:rPr>
        <w:t>,</w:t>
      </w:r>
      <w:r w:rsidR="00053ACC">
        <w:rPr>
          <w:lang w:bidi="ar-EG"/>
        </w:rPr>
        <w:t xml:space="preserve"> not investigating </w:t>
      </w:r>
      <w:r w:rsidR="00390DB9">
        <w:rPr>
          <w:lang w:bidi="ar-EG"/>
        </w:rPr>
        <w:t xml:space="preserve">safeguard measures against all the countries that fairly practice trade. </w:t>
      </w:r>
    </w:p>
    <w:p w:rsidR="00390DB9" w:rsidRPr="002A6B97" w:rsidRDefault="00390DB9" w:rsidP="00593640">
      <w:pPr>
        <w:jc w:val="both"/>
        <w:rPr>
          <w:b/>
          <w:bCs/>
          <w:lang w:bidi="ar-EG"/>
        </w:rPr>
      </w:pPr>
      <w:r w:rsidRPr="002A6B97">
        <w:rPr>
          <w:b/>
          <w:bCs/>
          <w:lang w:bidi="ar-EG"/>
        </w:rPr>
        <w:t xml:space="preserve">Response: </w:t>
      </w:r>
    </w:p>
    <w:p w:rsidR="00FB5F61" w:rsidRPr="002A6B97" w:rsidRDefault="00390DB9" w:rsidP="00593640">
      <w:pPr>
        <w:jc w:val="both"/>
        <w:rPr>
          <w:b/>
          <w:bCs/>
          <w:lang w:bidi="ar-EG"/>
        </w:rPr>
      </w:pPr>
      <w:r w:rsidRPr="002A6B97">
        <w:rPr>
          <w:b/>
          <w:bCs/>
          <w:lang w:bidi="ar-EG"/>
        </w:rPr>
        <w:t>The local industry has submitted a complaint that includes the conditions set out in the Safeguard Agreement including unexpected developments that lead to substantial increase of the concerned products</w:t>
      </w:r>
      <w:r w:rsidR="002A6B97">
        <w:rPr>
          <w:b/>
          <w:bCs/>
          <w:lang w:bidi="ar-EG"/>
        </w:rPr>
        <w:t>,</w:t>
      </w:r>
      <w:r w:rsidRPr="002A6B97">
        <w:rPr>
          <w:b/>
          <w:bCs/>
          <w:lang w:bidi="ar-EG"/>
        </w:rPr>
        <w:t xml:space="preserve"> regardless their </w:t>
      </w:r>
      <w:proofErr w:type="gramStart"/>
      <w:r w:rsidRPr="002A6B97">
        <w:rPr>
          <w:b/>
          <w:bCs/>
          <w:lang w:bidi="ar-EG"/>
        </w:rPr>
        <w:t>source</w:t>
      </w:r>
      <w:r w:rsidR="002A6B97">
        <w:rPr>
          <w:b/>
          <w:bCs/>
          <w:lang w:bidi="ar-EG"/>
        </w:rPr>
        <w:t>,</w:t>
      </w:r>
      <w:r w:rsidRPr="002A6B97">
        <w:rPr>
          <w:b/>
          <w:bCs/>
          <w:lang w:bidi="ar-EG"/>
        </w:rPr>
        <w:t xml:space="preserve"> that</w:t>
      </w:r>
      <w:proofErr w:type="gramEnd"/>
      <w:r w:rsidRPr="002A6B97">
        <w:rPr>
          <w:b/>
          <w:bCs/>
          <w:lang w:bidi="ar-EG"/>
        </w:rPr>
        <w:t xml:space="preserve"> caused substantial injury to the industry. </w:t>
      </w:r>
    </w:p>
    <w:p w:rsidR="00FB5F61" w:rsidRPr="002A6B97" w:rsidRDefault="00FB5F61" w:rsidP="00593640">
      <w:pPr>
        <w:jc w:val="both"/>
        <w:rPr>
          <w:b/>
          <w:bCs/>
          <w:u w:val="single"/>
          <w:lang w:bidi="ar-EG"/>
        </w:rPr>
      </w:pPr>
      <w:r w:rsidRPr="002A6B97">
        <w:rPr>
          <w:b/>
          <w:bCs/>
          <w:u w:val="single"/>
          <w:lang w:bidi="ar-EG"/>
        </w:rPr>
        <w:t xml:space="preserve">Claim 12: </w:t>
      </w:r>
    </w:p>
    <w:p w:rsidR="00796D65" w:rsidRDefault="00FB5F61" w:rsidP="00AD4E74">
      <w:pPr>
        <w:jc w:val="both"/>
        <w:rPr>
          <w:lang w:bidi="ar-EG"/>
        </w:rPr>
      </w:pPr>
      <w:r>
        <w:rPr>
          <w:lang w:bidi="ar-EG"/>
        </w:rPr>
        <w:t xml:space="preserve">Egyptian exports of the products </w:t>
      </w:r>
      <w:r w:rsidR="00AD4E74">
        <w:rPr>
          <w:lang w:bidi="ar-EG"/>
        </w:rPr>
        <w:t xml:space="preserve">subject to investigation have led to </w:t>
      </w:r>
      <w:r>
        <w:rPr>
          <w:lang w:bidi="ar-EG"/>
        </w:rPr>
        <w:t>demands for covering the market need</w:t>
      </w:r>
      <w:r w:rsidR="00372E34">
        <w:rPr>
          <w:lang w:bidi="ar-EG"/>
        </w:rPr>
        <w:t xml:space="preserve">s; </w:t>
      </w:r>
      <w:proofErr w:type="spellStart"/>
      <w:r w:rsidR="00372E34">
        <w:rPr>
          <w:lang w:bidi="ar-EG"/>
        </w:rPr>
        <w:t>Misr</w:t>
      </w:r>
      <w:proofErr w:type="spellEnd"/>
      <w:r w:rsidR="00372E34">
        <w:rPr>
          <w:lang w:bidi="ar-EG"/>
        </w:rPr>
        <w:t xml:space="preserve"> Aluminum Company has exploite</w:t>
      </w:r>
      <w:r>
        <w:rPr>
          <w:lang w:bidi="ar-EG"/>
        </w:rPr>
        <w:t xml:space="preserve">d the </w:t>
      </w:r>
      <w:r w:rsidR="00AD4E74">
        <w:rPr>
          <w:lang w:bidi="ar-EG"/>
        </w:rPr>
        <w:t>opportunity of</w:t>
      </w:r>
      <w:r w:rsidR="00372E34">
        <w:rPr>
          <w:lang w:bidi="ar-EG"/>
        </w:rPr>
        <w:t xml:space="preserve"> </w:t>
      </w:r>
      <w:r>
        <w:rPr>
          <w:lang w:bidi="ar-EG"/>
        </w:rPr>
        <w:t xml:space="preserve">penalties on Russia and channeled more of its products to European and North American markets with the purpose of benefiting from selling for prices higher than those of the local </w:t>
      </w:r>
      <w:proofErr w:type="gramStart"/>
      <w:r>
        <w:rPr>
          <w:lang w:bidi="ar-EG"/>
        </w:rPr>
        <w:t>market</w:t>
      </w:r>
      <w:proofErr w:type="gramEnd"/>
      <w:r>
        <w:rPr>
          <w:lang w:bidi="ar-EG"/>
        </w:rPr>
        <w:t>. Statistics indicated that the volume of Egyptian exports of aluminum products exceed the imported amounts</w:t>
      </w:r>
      <w:r w:rsidR="00372E34">
        <w:rPr>
          <w:lang w:bidi="ar-EG"/>
        </w:rPr>
        <w:t>.</w:t>
      </w:r>
      <w:r>
        <w:rPr>
          <w:lang w:bidi="ar-EG"/>
        </w:rPr>
        <w:t xml:space="preserve"> </w:t>
      </w:r>
      <w:r w:rsidR="00372E34">
        <w:rPr>
          <w:lang w:bidi="ar-EG"/>
        </w:rPr>
        <w:t>L</w:t>
      </w:r>
      <w:r>
        <w:rPr>
          <w:lang w:bidi="ar-EG"/>
        </w:rPr>
        <w:t>ocal market needs</w:t>
      </w:r>
      <w:r w:rsidR="00372E34">
        <w:rPr>
          <w:lang w:bidi="ar-EG"/>
        </w:rPr>
        <w:t>,</w:t>
      </w:r>
      <w:r>
        <w:rPr>
          <w:lang w:bidi="ar-EG"/>
        </w:rPr>
        <w:t xml:space="preserve"> due to government national projects</w:t>
      </w:r>
      <w:r w:rsidR="00372E34">
        <w:rPr>
          <w:lang w:bidi="ar-EG"/>
        </w:rPr>
        <w:t>,</w:t>
      </w:r>
      <w:r>
        <w:rPr>
          <w:lang w:bidi="ar-EG"/>
        </w:rPr>
        <w:t xml:space="preserve"> have </w:t>
      </w:r>
      <w:r w:rsidR="00372E34">
        <w:rPr>
          <w:lang w:bidi="ar-EG"/>
        </w:rPr>
        <w:t>promot</w:t>
      </w:r>
      <w:r w:rsidR="00796D65">
        <w:rPr>
          <w:lang w:bidi="ar-EG"/>
        </w:rPr>
        <w:t xml:space="preserve">ed the need for imports of gulf products. </w:t>
      </w:r>
    </w:p>
    <w:p w:rsidR="00796D65" w:rsidRPr="00E3043C" w:rsidRDefault="00796D65" w:rsidP="00FB5F61">
      <w:pPr>
        <w:jc w:val="both"/>
        <w:rPr>
          <w:b/>
          <w:bCs/>
          <w:lang w:bidi="ar-EG"/>
        </w:rPr>
      </w:pPr>
      <w:r w:rsidRPr="00E3043C">
        <w:rPr>
          <w:b/>
          <w:bCs/>
          <w:lang w:bidi="ar-EG"/>
        </w:rPr>
        <w:t xml:space="preserve">Response: </w:t>
      </w:r>
    </w:p>
    <w:p w:rsidR="00796D65" w:rsidRPr="00372E34" w:rsidRDefault="00372E34" w:rsidP="003E5004">
      <w:pPr>
        <w:jc w:val="both"/>
        <w:rPr>
          <w:b/>
          <w:bCs/>
          <w:lang w:bidi="ar-EG"/>
        </w:rPr>
      </w:pPr>
      <w:r>
        <w:rPr>
          <w:b/>
          <w:bCs/>
          <w:lang w:bidi="ar-EG"/>
        </w:rPr>
        <w:t>Table No. 4-5 of the fourth section</w:t>
      </w:r>
      <w:r w:rsidR="00796D65" w:rsidRPr="00372E34">
        <w:rPr>
          <w:b/>
          <w:bCs/>
          <w:lang w:bidi="ar-EG"/>
        </w:rPr>
        <w:t xml:space="preserve"> of this report shows that exports of the local industry have increased at rates of 41% and 42% in 2017/2018 and 2018/2019 respectively in synchronization with the substantial increase of the volume of imports that reached 116% and 422% over the same years</w:t>
      </w:r>
      <w:r>
        <w:rPr>
          <w:b/>
          <w:bCs/>
          <w:lang w:bidi="ar-EG"/>
        </w:rPr>
        <w:t xml:space="preserve"> (table 3-1) at the time when the </w:t>
      </w:r>
      <w:r w:rsidR="003E5004">
        <w:rPr>
          <w:b/>
          <w:bCs/>
          <w:lang w:bidi="ar-EG"/>
        </w:rPr>
        <w:t>market share of imports increased at huge rates that reached 110% and 420% during the same years</w:t>
      </w:r>
      <w:r w:rsidR="00796D65" w:rsidRPr="00372E34">
        <w:rPr>
          <w:b/>
          <w:bCs/>
          <w:lang w:bidi="ar-EG"/>
        </w:rPr>
        <w:t xml:space="preserve"> that witnessed in return a drop in the market share of local industry shares at 12% and 4</w:t>
      </w:r>
      <w:r w:rsidR="003E5004">
        <w:rPr>
          <w:b/>
          <w:bCs/>
          <w:lang w:bidi="ar-EG"/>
        </w:rPr>
        <w:t xml:space="preserve">7%(table 4-1). </w:t>
      </w:r>
      <w:proofErr w:type="gramStart"/>
      <w:r w:rsidR="003E5004" w:rsidRPr="00372E34">
        <w:rPr>
          <w:b/>
          <w:bCs/>
          <w:lang w:bidi="ar-EG"/>
        </w:rPr>
        <w:t>T</w:t>
      </w:r>
      <w:r w:rsidR="00796D65" w:rsidRPr="00372E34">
        <w:rPr>
          <w:b/>
          <w:bCs/>
          <w:lang w:bidi="ar-EG"/>
        </w:rPr>
        <w:t>h</w:t>
      </w:r>
      <w:r w:rsidR="003E5004">
        <w:rPr>
          <w:b/>
          <w:bCs/>
          <w:lang w:bidi="ar-EG"/>
        </w:rPr>
        <w:t>e same</w:t>
      </w:r>
      <w:r w:rsidR="00796D65" w:rsidRPr="00372E34">
        <w:rPr>
          <w:b/>
          <w:bCs/>
          <w:lang w:bidi="ar-EG"/>
        </w:rPr>
        <w:t xml:space="preserve"> was repeated in the first half of 2019/2020, an aspect that points to the fact that the industry had to export due to its inability to sell in the local market under overwhelmingly increased substantial imports that took an increasing share of the market at the expense of the industry sales whose exports increase at rates</w:t>
      </w:r>
      <w:r w:rsidR="00FF419B">
        <w:rPr>
          <w:b/>
          <w:bCs/>
          <w:lang w:bidi="ar-EG"/>
        </w:rPr>
        <w:t xml:space="preserve"> much less than</w:t>
      </w:r>
      <w:r w:rsidR="00796D65" w:rsidRPr="00372E34">
        <w:rPr>
          <w:b/>
          <w:bCs/>
          <w:lang w:bidi="ar-EG"/>
        </w:rPr>
        <w:t xml:space="preserve"> the share it lost in the local market.</w:t>
      </w:r>
      <w:proofErr w:type="gramEnd"/>
      <w:r w:rsidR="00796D65" w:rsidRPr="00372E34">
        <w:rPr>
          <w:b/>
          <w:bCs/>
          <w:lang w:bidi="ar-EG"/>
        </w:rPr>
        <w:t xml:space="preserve"> </w:t>
      </w:r>
    </w:p>
    <w:p w:rsidR="0072638B" w:rsidRPr="00372E34" w:rsidRDefault="00796D65" w:rsidP="003E5004">
      <w:pPr>
        <w:jc w:val="both"/>
        <w:rPr>
          <w:b/>
          <w:bCs/>
          <w:lang w:bidi="ar-EG"/>
        </w:rPr>
      </w:pPr>
      <w:r w:rsidRPr="00372E34">
        <w:rPr>
          <w:b/>
          <w:bCs/>
          <w:lang w:bidi="ar-EG"/>
        </w:rPr>
        <w:t>The</w:t>
      </w:r>
      <w:r w:rsidR="000374C9" w:rsidRPr="00372E34">
        <w:rPr>
          <w:b/>
          <w:bCs/>
          <w:lang w:bidi="ar-EG"/>
        </w:rPr>
        <w:t xml:space="preserve"> above stresses</w:t>
      </w:r>
      <w:r w:rsidRPr="00372E34">
        <w:rPr>
          <w:b/>
          <w:bCs/>
          <w:lang w:bidi="ar-EG"/>
        </w:rPr>
        <w:t xml:space="preserve"> the</w:t>
      </w:r>
      <w:r w:rsidR="00E3043C" w:rsidRPr="00372E34">
        <w:rPr>
          <w:b/>
          <w:bCs/>
          <w:lang w:bidi="ar-EG"/>
        </w:rPr>
        <w:t xml:space="preserve"> steady</w:t>
      </w:r>
      <w:r w:rsidRPr="00372E34">
        <w:rPr>
          <w:b/>
          <w:bCs/>
          <w:lang w:bidi="ar-EG"/>
        </w:rPr>
        <w:t xml:space="preserve"> drop of</w:t>
      </w:r>
      <w:r w:rsidR="00E3043C" w:rsidRPr="00372E34">
        <w:rPr>
          <w:b/>
          <w:bCs/>
          <w:lang w:bidi="ar-EG"/>
        </w:rPr>
        <w:t xml:space="preserve"> capacity utilization rate as indicated in table 4-2 of section f</w:t>
      </w:r>
      <w:r w:rsidR="000374C9" w:rsidRPr="00372E34">
        <w:rPr>
          <w:b/>
          <w:bCs/>
          <w:lang w:bidi="ar-EG"/>
        </w:rPr>
        <w:t>our of this report. In addition, the Investigating Authority found in its investigating</w:t>
      </w:r>
      <w:r w:rsidR="0072638B" w:rsidRPr="00372E34">
        <w:rPr>
          <w:b/>
          <w:bCs/>
          <w:lang w:bidi="ar-EG"/>
        </w:rPr>
        <w:t xml:space="preserve"> visit</w:t>
      </w:r>
      <w:r w:rsidR="000374C9" w:rsidRPr="00372E34">
        <w:rPr>
          <w:b/>
          <w:bCs/>
          <w:lang w:bidi="ar-EG"/>
        </w:rPr>
        <w:t xml:space="preserve"> that there is surplus sto</w:t>
      </w:r>
      <w:r w:rsidR="003E5004">
        <w:rPr>
          <w:b/>
          <w:bCs/>
          <w:lang w:bidi="ar-EG"/>
        </w:rPr>
        <w:t>ck</w:t>
      </w:r>
      <w:r w:rsidR="000374C9" w:rsidRPr="00372E34">
        <w:rPr>
          <w:b/>
          <w:bCs/>
          <w:lang w:bidi="ar-EG"/>
        </w:rPr>
        <w:t xml:space="preserve"> of the product subject to investigation with the local industry, an aspect</w:t>
      </w:r>
      <w:r w:rsidR="0072638B" w:rsidRPr="00372E34">
        <w:rPr>
          <w:b/>
          <w:bCs/>
          <w:lang w:bidi="ar-EG"/>
        </w:rPr>
        <w:t xml:space="preserve"> that indicates that the local industry could have covered a bigger part of the local market had it not been for the impact of increased imports. </w:t>
      </w:r>
    </w:p>
    <w:p w:rsidR="0072638B" w:rsidRPr="0072638B" w:rsidRDefault="0072638B" w:rsidP="00FB5F61">
      <w:pPr>
        <w:jc w:val="both"/>
        <w:rPr>
          <w:b/>
          <w:bCs/>
          <w:lang w:bidi="ar-EG"/>
        </w:rPr>
      </w:pPr>
      <w:r w:rsidRPr="0072638B">
        <w:rPr>
          <w:b/>
          <w:bCs/>
          <w:lang w:bidi="ar-EG"/>
        </w:rPr>
        <w:lastRenderedPageBreak/>
        <w:t>Claim 13:</w:t>
      </w:r>
    </w:p>
    <w:p w:rsidR="00091A8F" w:rsidRDefault="0072638B" w:rsidP="003E5004">
      <w:pPr>
        <w:jc w:val="both"/>
        <w:rPr>
          <w:lang w:bidi="ar-EG"/>
        </w:rPr>
      </w:pPr>
      <w:r>
        <w:rPr>
          <w:lang w:bidi="ar-EG"/>
        </w:rPr>
        <w:t xml:space="preserve">The safeguard measures, in case applied, will replace the GAFTA, thus lead to instability of the market in the region </w:t>
      </w:r>
      <w:r w:rsidR="003E5004">
        <w:rPr>
          <w:lang w:bidi="ar-EG"/>
        </w:rPr>
        <w:t>never to mention the</w:t>
      </w:r>
      <w:r w:rsidR="00091A8F">
        <w:rPr>
          <w:lang w:bidi="ar-EG"/>
        </w:rPr>
        <w:t xml:space="preserve"> prospects of COVID-19 impacts on future sales and the resulting instability between production capacity and demand in the Middle East and North Africa</w:t>
      </w:r>
      <w:r w:rsidR="00FF419B">
        <w:rPr>
          <w:lang w:bidi="ar-EG"/>
        </w:rPr>
        <w:t>n</w:t>
      </w:r>
      <w:r w:rsidR="00091A8F">
        <w:rPr>
          <w:lang w:bidi="ar-EG"/>
        </w:rPr>
        <w:t xml:space="preserve"> markets. </w:t>
      </w:r>
    </w:p>
    <w:p w:rsidR="00091A8F" w:rsidRPr="003E5004" w:rsidRDefault="00091A8F" w:rsidP="00FB5F61">
      <w:pPr>
        <w:jc w:val="both"/>
        <w:rPr>
          <w:b/>
          <w:bCs/>
          <w:lang w:bidi="ar-EG"/>
        </w:rPr>
      </w:pPr>
      <w:r w:rsidRPr="003E5004">
        <w:rPr>
          <w:b/>
          <w:bCs/>
          <w:lang w:bidi="ar-EG"/>
        </w:rPr>
        <w:t>Response:</w:t>
      </w:r>
    </w:p>
    <w:p w:rsidR="00C102D8" w:rsidRPr="003E5004" w:rsidRDefault="00091A8F" w:rsidP="00575EE0">
      <w:pPr>
        <w:jc w:val="both"/>
        <w:rPr>
          <w:b/>
          <w:bCs/>
          <w:lang w:bidi="ar-EG"/>
        </w:rPr>
      </w:pPr>
      <w:r w:rsidRPr="003E5004">
        <w:rPr>
          <w:b/>
          <w:bCs/>
          <w:lang w:bidi="ar-EG"/>
        </w:rPr>
        <w:t>The Safeguard Agreement upon which safeguard measures are imposed is different in nature and target from the GAFTA. Safeguard Measures</w:t>
      </w:r>
      <w:r w:rsidR="007918AD" w:rsidRPr="003E5004">
        <w:rPr>
          <w:b/>
          <w:bCs/>
          <w:lang w:bidi="ar-EG"/>
        </w:rPr>
        <w:t>, as previously indicated</w:t>
      </w:r>
      <w:r w:rsidR="003E5004">
        <w:rPr>
          <w:b/>
          <w:bCs/>
          <w:lang w:bidi="ar-EG"/>
        </w:rPr>
        <w:t>,</w:t>
      </w:r>
      <w:r w:rsidR="007918AD" w:rsidRPr="003E5004">
        <w:rPr>
          <w:b/>
          <w:bCs/>
          <w:lang w:bidi="ar-EG"/>
        </w:rPr>
        <w:t xml:space="preserve"> target </w:t>
      </w:r>
      <w:r w:rsidR="00D935E0" w:rsidRPr="003E5004">
        <w:rPr>
          <w:b/>
          <w:bCs/>
          <w:lang w:bidi="ar-EG"/>
        </w:rPr>
        <w:t>regulating the</w:t>
      </w:r>
      <w:r w:rsidR="00A763C8" w:rsidRPr="003E5004">
        <w:rPr>
          <w:b/>
          <w:bCs/>
          <w:lang w:bidi="ar-EG"/>
        </w:rPr>
        <w:t xml:space="preserve"> fair</w:t>
      </w:r>
      <w:r w:rsidR="00D935E0" w:rsidRPr="003E5004">
        <w:rPr>
          <w:b/>
          <w:bCs/>
          <w:lang w:bidi="ar-EG"/>
        </w:rPr>
        <w:t xml:space="preserve"> access of </w:t>
      </w:r>
      <w:r w:rsidR="00A763C8" w:rsidRPr="003E5004">
        <w:rPr>
          <w:b/>
          <w:bCs/>
          <w:lang w:bidi="ar-EG"/>
        </w:rPr>
        <w:t>imports, an aspect that leads to the stability of the market and helps realize fair competition between local and imported prod</w:t>
      </w:r>
      <w:r w:rsidR="00DE4EEE">
        <w:rPr>
          <w:b/>
          <w:bCs/>
          <w:lang w:bidi="ar-EG"/>
        </w:rPr>
        <w:t>ucts while observing the common</w:t>
      </w:r>
      <w:r w:rsidR="00A763C8" w:rsidRPr="003E5004">
        <w:rPr>
          <w:b/>
          <w:bCs/>
          <w:lang w:bidi="ar-EG"/>
        </w:rPr>
        <w:t xml:space="preserve"> interest of all the concerned parties, while the GAFTA targets eliminating all customs and non-customs restrictions among the member states. This does not touch upon </w:t>
      </w:r>
      <w:r w:rsidR="00756037" w:rsidRPr="003E5004">
        <w:rPr>
          <w:b/>
          <w:bCs/>
          <w:lang w:bidi="ar-EG"/>
        </w:rPr>
        <w:t>any unfair trade pr</w:t>
      </w:r>
      <w:r w:rsidR="00575EE0">
        <w:rPr>
          <w:b/>
          <w:bCs/>
          <w:lang w:bidi="ar-EG"/>
        </w:rPr>
        <w:t>actices by one country towards an</w:t>
      </w:r>
      <w:r w:rsidR="00756037" w:rsidRPr="003E5004">
        <w:rPr>
          <w:b/>
          <w:bCs/>
          <w:lang w:bidi="ar-EG"/>
        </w:rPr>
        <w:t xml:space="preserve">other. In addition, article 5 of the executive </w:t>
      </w:r>
      <w:proofErr w:type="spellStart"/>
      <w:r w:rsidR="00756037" w:rsidRPr="003E5004">
        <w:rPr>
          <w:b/>
          <w:bCs/>
          <w:lang w:bidi="ar-EG"/>
        </w:rPr>
        <w:t>programme</w:t>
      </w:r>
      <w:proofErr w:type="spellEnd"/>
      <w:r w:rsidR="00756037" w:rsidRPr="003E5004">
        <w:rPr>
          <w:b/>
          <w:bCs/>
          <w:lang w:bidi="ar-EG"/>
        </w:rPr>
        <w:t xml:space="preserve"> of the </w:t>
      </w:r>
      <w:r w:rsidR="00766415" w:rsidRPr="00766415">
        <w:rPr>
          <w:b/>
          <w:bCs/>
          <w:lang w:bidi="ar-EG"/>
        </w:rPr>
        <w:t>Agreement to Facilitate and Develop Trade among Arab States</w:t>
      </w:r>
      <w:r w:rsidR="00C102D8" w:rsidRPr="003E5004">
        <w:rPr>
          <w:b/>
          <w:bCs/>
          <w:lang w:bidi="ar-EG"/>
        </w:rPr>
        <w:t xml:space="preserve"> to establish a great Arab free trade zone prescribes</w:t>
      </w:r>
      <w:r w:rsidR="00B7408C">
        <w:rPr>
          <w:b/>
          <w:bCs/>
          <w:lang w:bidi="ar-EG"/>
        </w:rPr>
        <w:t xml:space="preserve"> that</w:t>
      </w:r>
      <w:r w:rsidR="00C102D8" w:rsidRPr="003E5004">
        <w:rPr>
          <w:b/>
          <w:bCs/>
          <w:lang w:bidi="ar-EG"/>
        </w:rPr>
        <w:t xml:space="preserve"> “</w:t>
      </w:r>
      <w:r w:rsidR="00B7408C" w:rsidRPr="00B7408C">
        <w:rPr>
          <w:b/>
          <w:bCs/>
          <w:lang w:bidi="ar-EG"/>
        </w:rPr>
        <w:t>International rules and provisions shall be observed in respect to the technical</w:t>
      </w:r>
      <w:r w:rsidR="00B7408C">
        <w:rPr>
          <w:b/>
          <w:bCs/>
          <w:lang w:bidi="ar-EG"/>
        </w:rPr>
        <w:t xml:space="preserve"> </w:t>
      </w:r>
      <w:r w:rsidR="00B7408C" w:rsidRPr="00B7408C">
        <w:rPr>
          <w:b/>
          <w:bCs/>
          <w:lang w:bidi="ar-EG"/>
        </w:rPr>
        <w:t>bases for safeguard measures, addressing cases of subsidization, and measures to</w:t>
      </w:r>
      <w:r w:rsidR="00B7408C">
        <w:rPr>
          <w:b/>
          <w:bCs/>
          <w:lang w:bidi="ar-EG"/>
        </w:rPr>
        <w:t xml:space="preserve"> </w:t>
      </w:r>
      <w:r w:rsidR="00B7408C" w:rsidRPr="00B7408C">
        <w:rPr>
          <w:b/>
          <w:bCs/>
          <w:lang w:bidi="ar-EG"/>
        </w:rPr>
        <w:t>deal with the balance of payment deficits resulting from the implementation of this</w:t>
      </w:r>
      <w:r w:rsidR="00B7408C">
        <w:rPr>
          <w:b/>
          <w:bCs/>
          <w:lang w:bidi="ar-EG"/>
        </w:rPr>
        <w:t xml:space="preserve"> </w:t>
      </w:r>
      <w:r w:rsidR="00B7408C" w:rsidRPr="00B7408C">
        <w:rPr>
          <w:b/>
          <w:bCs/>
          <w:lang w:bidi="ar-EG"/>
        </w:rPr>
        <w:t>program</w:t>
      </w:r>
      <w:r w:rsidR="00C102D8" w:rsidRPr="003E5004">
        <w:rPr>
          <w:b/>
          <w:bCs/>
          <w:lang w:bidi="ar-EG"/>
        </w:rPr>
        <w:t>.”</w:t>
      </w:r>
      <w:r w:rsidR="00766415">
        <w:rPr>
          <w:b/>
          <w:bCs/>
          <w:lang w:bidi="ar-EG"/>
        </w:rPr>
        <w:t xml:space="preserve"> </w:t>
      </w:r>
    </w:p>
    <w:p w:rsidR="00812798" w:rsidRPr="003E5004" w:rsidRDefault="00C102D8" w:rsidP="00896F5C">
      <w:pPr>
        <w:jc w:val="both"/>
        <w:rPr>
          <w:b/>
          <w:bCs/>
          <w:lang w:bidi="ar-EG"/>
        </w:rPr>
      </w:pPr>
      <w:r w:rsidRPr="003E5004">
        <w:rPr>
          <w:b/>
          <w:bCs/>
          <w:lang w:bidi="ar-EG"/>
        </w:rPr>
        <w:t xml:space="preserve">In addition, article (6) of the executive </w:t>
      </w:r>
      <w:proofErr w:type="spellStart"/>
      <w:r w:rsidRPr="003E5004">
        <w:rPr>
          <w:b/>
          <w:bCs/>
          <w:lang w:bidi="ar-EG"/>
        </w:rPr>
        <w:t>programme</w:t>
      </w:r>
      <w:proofErr w:type="spellEnd"/>
      <w:r w:rsidRPr="003E5004">
        <w:rPr>
          <w:b/>
          <w:bCs/>
          <w:lang w:bidi="ar-EG"/>
        </w:rPr>
        <w:t xml:space="preserve"> sets out th</w:t>
      </w:r>
      <w:r w:rsidR="00896F5C">
        <w:rPr>
          <w:b/>
          <w:bCs/>
          <w:lang w:bidi="ar-EG"/>
        </w:rPr>
        <w:t>at “international technical base</w:t>
      </w:r>
      <w:r w:rsidRPr="003E5004">
        <w:rPr>
          <w:b/>
          <w:bCs/>
          <w:lang w:bidi="ar-EG"/>
        </w:rPr>
        <w:t>s shall be followed in the definition and treat</w:t>
      </w:r>
      <w:r w:rsidR="00896F5C">
        <w:rPr>
          <w:b/>
          <w:bCs/>
          <w:lang w:bidi="ar-EG"/>
        </w:rPr>
        <w:t>ment</w:t>
      </w:r>
      <w:r w:rsidR="00575EE0">
        <w:rPr>
          <w:b/>
          <w:bCs/>
          <w:lang w:bidi="ar-EG"/>
        </w:rPr>
        <w:t xml:space="preserve"> of</w:t>
      </w:r>
      <w:r w:rsidR="00896F5C">
        <w:rPr>
          <w:b/>
          <w:bCs/>
          <w:lang w:bidi="ar-EG"/>
        </w:rPr>
        <w:t xml:space="preserve"> cases of</w:t>
      </w:r>
      <w:r w:rsidR="007023CD">
        <w:rPr>
          <w:b/>
          <w:bCs/>
          <w:lang w:bidi="ar-EG"/>
        </w:rPr>
        <w:t xml:space="preserve"> dumping in respect to</w:t>
      </w:r>
      <w:r w:rsidRPr="003E5004">
        <w:rPr>
          <w:b/>
          <w:bCs/>
          <w:lang w:bidi="ar-EG"/>
        </w:rPr>
        <w:t xml:space="preserve"> anti-dumping.” </w:t>
      </w:r>
    </w:p>
    <w:p w:rsidR="00812798" w:rsidRPr="003E5004" w:rsidRDefault="00812798" w:rsidP="007023CD">
      <w:pPr>
        <w:jc w:val="both"/>
        <w:rPr>
          <w:b/>
          <w:bCs/>
          <w:lang w:bidi="ar-EG"/>
        </w:rPr>
      </w:pPr>
      <w:r w:rsidRPr="003E5004">
        <w:rPr>
          <w:b/>
          <w:bCs/>
          <w:lang w:bidi="ar-EG"/>
        </w:rPr>
        <w:t xml:space="preserve">As for the repercussions of COVID-19 on future sales, they are not confined to one country or region; </w:t>
      </w:r>
      <w:r w:rsidR="007023CD">
        <w:rPr>
          <w:b/>
          <w:bCs/>
          <w:lang w:bidi="ar-EG"/>
        </w:rPr>
        <w:t>they span</w:t>
      </w:r>
      <w:r w:rsidRPr="003E5004">
        <w:rPr>
          <w:b/>
          <w:bCs/>
          <w:lang w:bidi="ar-EG"/>
        </w:rPr>
        <w:t xml:space="preserve"> world</w:t>
      </w:r>
      <w:r w:rsidR="007023CD">
        <w:rPr>
          <w:b/>
          <w:bCs/>
          <w:lang w:bidi="ar-EG"/>
        </w:rPr>
        <w:t>wide</w:t>
      </w:r>
      <w:r w:rsidRPr="003E5004">
        <w:rPr>
          <w:b/>
          <w:bCs/>
          <w:lang w:bidi="ar-EG"/>
        </w:rPr>
        <w:t xml:space="preserve">. </w:t>
      </w:r>
    </w:p>
    <w:p w:rsidR="00812798" w:rsidRPr="00675997" w:rsidRDefault="00812798" w:rsidP="00C102D8">
      <w:pPr>
        <w:jc w:val="both"/>
        <w:rPr>
          <w:b/>
          <w:bCs/>
          <w:u w:val="single"/>
          <w:lang w:bidi="ar-EG"/>
        </w:rPr>
      </w:pPr>
      <w:r w:rsidRPr="00675997">
        <w:rPr>
          <w:b/>
          <w:bCs/>
          <w:u w:val="single"/>
          <w:lang w:bidi="ar-EG"/>
        </w:rPr>
        <w:t>Claim 14:</w:t>
      </w:r>
    </w:p>
    <w:p w:rsidR="00812798" w:rsidRDefault="00812798" w:rsidP="00675997">
      <w:pPr>
        <w:jc w:val="both"/>
        <w:rPr>
          <w:lang w:bidi="ar-EG"/>
        </w:rPr>
      </w:pPr>
      <w:r>
        <w:rPr>
          <w:lang w:bidi="ar-EG"/>
        </w:rPr>
        <w:t>Having the local industry as the only producer of aluminum ore does not serve f</w:t>
      </w:r>
      <w:r w:rsidR="00675997">
        <w:rPr>
          <w:lang w:bidi="ar-EG"/>
        </w:rPr>
        <w:t>air competition and imports</w:t>
      </w:r>
      <w:r>
        <w:rPr>
          <w:lang w:bidi="ar-EG"/>
        </w:rPr>
        <w:t xml:space="preserve"> play a positive role by establishing fair competition</w:t>
      </w:r>
      <w:r w:rsidR="00675997">
        <w:rPr>
          <w:lang w:bidi="ar-EG"/>
        </w:rPr>
        <w:t>.</w:t>
      </w:r>
      <w:r>
        <w:rPr>
          <w:lang w:bidi="ar-EG"/>
        </w:rPr>
        <w:t xml:space="preserve"> </w:t>
      </w:r>
      <w:r w:rsidR="00675997">
        <w:rPr>
          <w:lang w:bidi="ar-EG"/>
        </w:rPr>
        <w:t>In</w:t>
      </w:r>
      <w:r>
        <w:rPr>
          <w:lang w:bidi="ar-EG"/>
        </w:rPr>
        <w:t xml:space="preserve"> addition, the lack of a competitor has kept it stand</w:t>
      </w:r>
      <w:r w:rsidR="00675997">
        <w:rPr>
          <w:lang w:bidi="ar-EG"/>
        </w:rPr>
        <w:t>ing</w:t>
      </w:r>
      <w:r>
        <w:rPr>
          <w:lang w:bidi="ar-EG"/>
        </w:rPr>
        <w:t xml:space="preserve"> still without developing production lines or technology.</w:t>
      </w:r>
    </w:p>
    <w:p w:rsidR="00812798" w:rsidRPr="00675997" w:rsidRDefault="00812798" w:rsidP="00C102D8">
      <w:pPr>
        <w:jc w:val="both"/>
        <w:rPr>
          <w:b/>
          <w:bCs/>
          <w:lang w:bidi="ar-EG"/>
        </w:rPr>
      </w:pPr>
      <w:r w:rsidRPr="00675997">
        <w:rPr>
          <w:b/>
          <w:bCs/>
          <w:lang w:bidi="ar-EG"/>
        </w:rPr>
        <w:t>Response:</w:t>
      </w:r>
    </w:p>
    <w:p w:rsidR="005E7DB0" w:rsidRDefault="00812798" w:rsidP="00675997">
      <w:pPr>
        <w:jc w:val="both"/>
        <w:rPr>
          <w:lang w:bidi="ar-EG"/>
        </w:rPr>
      </w:pPr>
      <w:r w:rsidRPr="00675997">
        <w:rPr>
          <w:b/>
          <w:bCs/>
          <w:lang w:bidi="ar-EG"/>
        </w:rPr>
        <w:t>Having the local industry as the only local producer does not necessarily abolish</w:t>
      </w:r>
      <w:r w:rsidR="00E00AD9" w:rsidRPr="00675997">
        <w:rPr>
          <w:b/>
          <w:bCs/>
          <w:lang w:bidi="ar-EG"/>
        </w:rPr>
        <w:t xml:space="preserve"> competition, and the proof is in the competition </w:t>
      </w:r>
      <w:r w:rsidR="00675997">
        <w:rPr>
          <w:b/>
          <w:bCs/>
          <w:lang w:bidi="ar-EG"/>
        </w:rPr>
        <w:t>from the imports that caused</w:t>
      </w:r>
      <w:r w:rsidR="00E00AD9" w:rsidRPr="00675997">
        <w:rPr>
          <w:b/>
          <w:bCs/>
          <w:lang w:bidi="ar-EG"/>
        </w:rPr>
        <w:t xml:space="preserve"> injury </w:t>
      </w:r>
      <w:r w:rsidR="00675997">
        <w:rPr>
          <w:b/>
          <w:bCs/>
          <w:lang w:bidi="ar-EG"/>
        </w:rPr>
        <w:t>to</w:t>
      </w:r>
      <w:r w:rsidR="00E00AD9" w:rsidRPr="00675997">
        <w:rPr>
          <w:b/>
          <w:bCs/>
          <w:lang w:bidi="ar-EG"/>
        </w:rPr>
        <w:t xml:space="preserve"> the local industry. Furthermore, in the case of imposing safeguard measures, the </w:t>
      </w:r>
      <w:r w:rsidR="00675997">
        <w:rPr>
          <w:b/>
          <w:bCs/>
          <w:lang w:bidi="ar-EG"/>
        </w:rPr>
        <w:t>purpose</w:t>
      </w:r>
      <w:r w:rsidR="00E00AD9" w:rsidRPr="00675997">
        <w:rPr>
          <w:b/>
          <w:bCs/>
          <w:lang w:bidi="ar-EG"/>
        </w:rPr>
        <w:t xml:space="preserve"> is not to rule out competition and ban the access of imports, rather establishing fair competition and helping imports to have fair access without substantially injuring the local industry. In addition, the Investigating Authority, in its investigation visit</w:t>
      </w:r>
      <w:r w:rsidR="00E00AD9">
        <w:rPr>
          <w:lang w:bidi="ar-EG"/>
        </w:rPr>
        <w:t xml:space="preserve"> </w:t>
      </w:r>
      <w:r w:rsidR="00E00AD9" w:rsidRPr="00675997">
        <w:rPr>
          <w:b/>
          <w:bCs/>
          <w:lang w:bidi="ar-EG"/>
        </w:rPr>
        <w:t xml:space="preserve">to the local industry, has verified that </w:t>
      </w:r>
      <w:r w:rsidR="005E7DB0" w:rsidRPr="00675997">
        <w:rPr>
          <w:b/>
          <w:bCs/>
          <w:lang w:bidi="ar-EG"/>
        </w:rPr>
        <w:t>the complainant company has the globally used technology for producing the product subject to investigation</w:t>
      </w:r>
      <w:r w:rsidR="005E7DB0">
        <w:rPr>
          <w:lang w:bidi="ar-EG"/>
        </w:rPr>
        <w:t xml:space="preserve">. </w:t>
      </w:r>
    </w:p>
    <w:p w:rsidR="005E7DB0" w:rsidRPr="00675997" w:rsidRDefault="005E7DB0" w:rsidP="00C102D8">
      <w:pPr>
        <w:jc w:val="both"/>
        <w:rPr>
          <w:b/>
          <w:bCs/>
          <w:u w:val="single"/>
          <w:lang w:bidi="ar-EG"/>
        </w:rPr>
      </w:pPr>
      <w:r w:rsidRPr="00675997">
        <w:rPr>
          <w:b/>
          <w:bCs/>
          <w:u w:val="single"/>
          <w:lang w:bidi="ar-EG"/>
        </w:rPr>
        <w:t xml:space="preserve">Claim 15: </w:t>
      </w:r>
    </w:p>
    <w:p w:rsidR="00034BAE" w:rsidRDefault="005E7DB0" w:rsidP="00675997">
      <w:pPr>
        <w:jc w:val="both"/>
        <w:rPr>
          <w:lang w:bidi="ar-EG"/>
        </w:rPr>
      </w:pPr>
      <w:r>
        <w:rPr>
          <w:lang w:bidi="ar-EG"/>
        </w:rPr>
        <w:lastRenderedPageBreak/>
        <w:t>The losses incurred in 2018/2019 are ascribed to several other factors that have no relation to the increase of imports according to the local industry’s statements to media. The complainant industry has determined four reasons for such losses that were represented in the rise of the cost of electricity</w:t>
      </w:r>
      <w:r w:rsidR="00675997">
        <w:rPr>
          <w:lang w:bidi="ar-EG"/>
        </w:rPr>
        <w:t xml:space="preserve"> and</w:t>
      </w:r>
      <w:r w:rsidR="00034BAE">
        <w:rPr>
          <w:lang w:bidi="ar-EG"/>
        </w:rPr>
        <w:t xml:space="preserve"> production tools, the drop of the basic price of the metal in London Metal Exchange (LME), the drop of the exchange rate</w:t>
      </w:r>
      <w:r w:rsidR="00034BAE" w:rsidRPr="00034BAE">
        <w:rPr>
          <w:lang w:bidi="ar-EG"/>
        </w:rPr>
        <w:t xml:space="preserve"> </w:t>
      </w:r>
      <w:r w:rsidR="00AA5CF8">
        <w:rPr>
          <w:lang w:bidi="ar-EG"/>
        </w:rPr>
        <w:t xml:space="preserve">of </w:t>
      </w:r>
      <w:r w:rsidR="00034BAE">
        <w:rPr>
          <w:lang w:bidi="ar-EG"/>
        </w:rPr>
        <w:t xml:space="preserve">US dollar, and the Company’s dispense with a big rate of its financial investments to meet its financial obligations, an aspect that led to a drop in the return on these investments. </w:t>
      </w:r>
    </w:p>
    <w:p w:rsidR="00034BAE" w:rsidRPr="000C3768" w:rsidRDefault="00034BAE" w:rsidP="00034BAE">
      <w:pPr>
        <w:jc w:val="both"/>
        <w:rPr>
          <w:b/>
          <w:bCs/>
          <w:lang w:bidi="ar-EG"/>
        </w:rPr>
      </w:pPr>
      <w:r w:rsidRPr="000C3768">
        <w:rPr>
          <w:b/>
          <w:bCs/>
          <w:lang w:bidi="ar-EG"/>
        </w:rPr>
        <w:t xml:space="preserve">Response: </w:t>
      </w:r>
    </w:p>
    <w:p w:rsidR="009B67EE" w:rsidRPr="000C3768" w:rsidRDefault="00034BAE" w:rsidP="000C3768">
      <w:pPr>
        <w:jc w:val="both"/>
        <w:rPr>
          <w:b/>
          <w:bCs/>
          <w:lang w:bidi="ar-EG"/>
        </w:rPr>
      </w:pPr>
      <w:r w:rsidRPr="000C3768">
        <w:rPr>
          <w:b/>
          <w:bCs/>
          <w:lang w:bidi="ar-EG"/>
        </w:rPr>
        <w:t>The industry did not experience losses in 2018/2019, rather profitability dropped; the industry incurred losses in the first half of 2019/2020. The Investigating Authority has searched in section four of this report the other reasons that might have caused substantial injury to the industry, including the rise of electricity prices and it turned out that it did not injure the industry as electricity prices and the p</w:t>
      </w:r>
      <w:r w:rsidR="009B67EE" w:rsidRPr="000C3768">
        <w:rPr>
          <w:b/>
          <w:bCs/>
          <w:lang w:bidi="ar-EG"/>
        </w:rPr>
        <w:t xml:space="preserve">rices of the energy furnished to some heavy industries including aluminum were lowered in 2019. In addition, the investigating Authority realized that there has been a global rise of </w:t>
      </w:r>
      <w:r w:rsidR="000C3768">
        <w:rPr>
          <w:b/>
          <w:bCs/>
          <w:lang w:bidi="ar-EG"/>
        </w:rPr>
        <w:t xml:space="preserve">the </w:t>
      </w:r>
      <w:r w:rsidR="009B67EE" w:rsidRPr="000C3768">
        <w:rPr>
          <w:b/>
          <w:bCs/>
          <w:lang w:bidi="ar-EG"/>
        </w:rPr>
        <w:t xml:space="preserve">price of aluminum in 2019/2020 and the global exchange </w:t>
      </w:r>
      <w:r w:rsidR="000C3768">
        <w:rPr>
          <w:b/>
          <w:bCs/>
          <w:lang w:bidi="ar-EG"/>
        </w:rPr>
        <w:t>rate</w:t>
      </w:r>
      <w:r w:rsidR="009B67EE" w:rsidRPr="000C3768">
        <w:rPr>
          <w:b/>
          <w:bCs/>
          <w:lang w:bidi="ar-EG"/>
        </w:rPr>
        <w:t xml:space="preserve"> is the basis of pricing by all parties not only the local industry. Furthermore, the exchange </w:t>
      </w:r>
      <w:r w:rsidR="000C3768">
        <w:rPr>
          <w:b/>
          <w:bCs/>
          <w:lang w:bidi="ar-EG"/>
        </w:rPr>
        <w:t>rate</w:t>
      </w:r>
      <w:r w:rsidR="009B67EE" w:rsidRPr="000C3768">
        <w:rPr>
          <w:b/>
          <w:bCs/>
          <w:lang w:bidi="ar-EG"/>
        </w:rPr>
        <w:t xml:space="preserve"> is not considered a reason of injury to the </w:t>
      </w:r>
      <w:r w:rsidR="002D0C97" w:rsidRPr="000C3768">
        <w:rPr>
          <w:b/>
          <w:bCs/>
          <w:lang w:bidi="ar-EG"/>
        </w:rPr>
        <w:t>industry;</w:t>
      </w:r>
      <w:r w:rsidR="009B67EE" w:rsidRPr="000C3768">
        <w:rPr>
          <w:b/>
          <w:bCs/>
          <w:lang w:bidi="ar-EG"/>
        </w:rPr>
        <w:t xml:space="preserve"> it has the same impact on all the concerned parties. </w:t>
      </w:r>
    </w:p>
    <w:p w:rsidR="009B67EE" w:rsidRPr="000C3768" w:rsidRDefault="009B67EE" w:rsidP="00034BAE">
      <w:pPr>
        <w:jc w:val="both"/>
        <w:rPr>
          <w:b/>
          <w:bCs/>
          <w:u w:val="single"/>
          <w:lang w:bidi="ar-EG"/>
        </w:rPr>
      </w:pPr>
      <w:r w:rsidRPr="000C3768">
        <w:rPr>
          <w:b/>
          <w:bCs/>
          <w:u w:val="single"/>
          <w:lang w:bidi="ar-EG"/>
        </w:rPr>
        <w:t xml:space="preserve">Claim 16: </w:t>
      </w:r>
    </w:p>
    <w:p w:rsidR="00895618" w:rsidRDefault="002D0C97" w:rsidP="0048087A">
      <w:pPr>
        <w:jc w:val="both"/>
        <w:rPr>
          <w:lang w:bidi="ar-EG"/>
        </w:rPr>
      </w:pPr>
      <w:r>
        <w:rPr>
          <w:lang w:bidi="ar-EG"/>
        </w:rPr>
        <w:t xml:space="preserve">The complaint violated the provisions of article 79 of the executive regulations of law No. 161 of 1998 and announced the start of investigation in the light of the WTO Appellate Body decision that </w:t>
      </w:r>
      <w:r w:rsidR="000C3768">
        <w:rPr>
          <w:lang w:bidi="ar-EG"/>
        </w:rPr>
        <w:t xml:space="preserve">the </w:t>
      </w:r>
      <w:r>
        <w:rPr>
          <w:lang w:bidi="ar-EG"/>
        </w:rPr>
        <w:t>increase of imports should be substantial, acute, recent, and sudden in amount and quality on the level of each of the products subject to investigation separately</w:t>
      </w:r>
      <w:r w:rsidR="00895618">
        <w:rPr>
          <w:lang w:bidi="ar-EG"/>
        </w:rPr>
        <w:t xml:space="preserve"> (</w:t>
      </w:r>
      <w:proofErr w:type="spellStart"/>
      <w:r w:rsidR="00895618">
        <w:rPr>
          <w:lang w:bidi="ar-EG"/>
        </w:rPr>
        <w:t>moulds</w:t>
      </w:r>
      <w:proofErr w:type="spellEnd"/>
      <w:r w:rsidR="00895618">
        <w:rPr>
          <w:lang w:bidi="ar-EG"/>
        </w:rPr>
        <w:t>, cylinders, wire), an aspect that entailed analyzing the development of the imports</w:t>
      </w:r>
      <w:r w:rsidR="00450799">
        <w:rPr>
          <w:lang w:bidi="ar-EG"/>
        </w:rPr>
        <w:t xml:space="preserve"> of each product separately</w:t>
      </w:r>
      <w:r w:rsidR="00895618">
        <w:rPr>
          <w:lang w:bidi="ar-EG"/>
        </w:rPr>
        <w:t xml:space="preserve"> </w:t>
      </w:r>
      <w:r w:rsidR="0048087A">
        <w:rPr>
          <w:lang w:bidi="ar-EG"/>
        </w:rPr>
        <w:t>just as</w:t>
      </w:r>
      <w:r w:rsidR="00895618">
        <w:rPr>
          <w:lang w:bidi="ar-EG"/>
        </w:rPr>
        <w:t xml:space="preserve"> the  </w:t>
      </w:r>
      <w:r w:rsidR="00450799">
        <w:rPr>
          <w:lang w:bidi="ar-EG"/>
        </w:rPr>
        <w:t xml:space="preserve">review of profit </w:t>
      </w:r>
      <w:r w:rsidR="00895618">
        <w:rPr>
          <w:lang w:bidi="ar-EG"/>
        </w:rPr>
        <w:t xml:space="preserve">indexes in the complaint, which explains the causal link between the imports of each product separately in causing the substantial injury of the complainant industry. </w:t>
      </w:r>
    </w:p>
    <w:p w:rsidR="00895618" w:rsidRPr="00BA1D9A" w:rsidRDefault="00895618" w:rsidP="00895618">
      <w:pPr>
        <w:jc w:val="both"/>
        <w:rPr>
          <w:b/>
          <w:bCs/>
          <w:lang w:bidi="ar-EG"/>
        </w:rPr>
      </w:pPr>
      <w:r w:rsidRPr="00BA1D9A">
        <w:rPr>
          <w:b/>
          <w:bCs/>
          <w:lang w:bidi="ar-EG"/>
        </w:rPr>
        <w:t>Response:</w:t>
      </w:r>
    </w:p>
    <w:p w:rsidR="00895618" w:rsidRPr="00BA1D9A" w:rsidRDefault="00895618" w:rsidP="0048087A">
      <w:pPr>
        <w:jc w:val="both"/>
        <w:rPr>
          <w:b/>
          <w:bCs/>
          <w:lang w:bidi="ar-EG"/>
        </w:rPr>
      </w:pPr>
      <w:r w:rsidRPr="00BA1D9A">
        <w:rPr>
          <w:b/>
          <w:bCs/>
          <w:lang w:bidi="ar-EG"/>
        </w:rPr>
        <w:t xml:space="preserve">The Investigating Authority has searched the increase of imports in the third section of this report and realized the existence of </w:t>
      </w:r>
      <w:r w:rsidR="0048087A" w:rsidRPr="00BA1D9A">
        <w:rPr>
          <w:b/>
          <w:bCs/>
          <w:lang w:bidi="ar-EG"/>
        </w:rPr>
        <w:t>absolute</w:t>
      </w:r>
      <w:r w:rsidR="0048087A">
        <w:rPr>
          <w:b/>
          <w:bCs/>
          <w:lang w:bidi="ar-EG"/>
        </w:rPr>
        <w:t xml:space="preserve">, </w:t>
      </w:r>
      <w:r w:rsidRPr="00BA1D9A">
        <w:rPr>
          <w:b/>
          <w:bCs/>
          <w:lang w:bidi="ar-EG"/>
        </w:rPr>
        <w:t>acute, recent, and sudden increas</w:t>
      </w:r>
      <w:r w:rsidR="0048087A">
        <w:rPr>
          <w:b/>
          <w:bCs/>
          <w:lang w:bidi="ar-EG"/>
        </w:rPr>
        <w:t>e of imports</w:t>
      </w:r>
      <w:r w:rsidRPr="00BA1D9A">
        <w:rPr>
          <w:b/>
          <w:bCs/>
          <w:lang w:bidi="ar-EG"/>
        </w:rPr>
        <w:t xml:space="preserve"> in relation to production over the investigated period that caused substantial injury to the local industry. As regards gath</w:t>
      </w:r>
      <w:r w:rsidR="0048087A">
        <w:rPr>
          <w:b/>
          <w:bCs/>
          <w:lang w:bidi="ar-EG"/>
        </w:rPr>
        <w:t>ering all products, a response to</w:t>
      </w:r>
      <w:r w:rsidRPr="00BA1D9A">
        <w:rPr>
          <w:b/>
          <w:bCs/>
          <w:lang w:bidi="ar-EG"/>
        </w:rPr>
        <w:t xml:space="preserve"> this question has already been given in comment No. 10 of this section. </w:t>
      </w:r>
    </w:p>
    <w:p w:rsidR="00895618" w:rsidRPr="0048087A" w:rsidRDefault="00895618" w:rsidP="00895618">
      <w:pPr>
        <w:jc w:val="both"/>
        <w:rPr>
          <w:b/>
          <w:bCs/>
          <w:u w:val="single"/>
          <w:lang w:bidi="ar-EG"/>
        </w:rPr>
      </w:pPr>
      <w:r w:rsidRPr="0048087A">
        <w:rPr>
          <w:b/>
          <w:bCs/>
          <w:u w:val="single"/>
          <w:lang w:bidi="ar-EG"/>
        </w:rPr>
        <w:t>Claim 17:</w:t>
      </w:r>
    </w:p>
    <w:p w:rsidR="00DC48E2" w:rsidRDefault="00895618" w:rsidP="00895618">
      <w:pPr>
        <w:jc w:val="both"/>
        <w:rPr>
          <w:lang w:bidi="ar-EG"/>
        </w:rPr>
      </w:pPr>
      <w:r>
        <w:rPr>
          <w:lang w:bidi="ar-EG"/>
        </w:rPr>
        <w:t xml:space="preserve">The </w:t>
      </w:r>
      <w:r w:rsidR="00523691">
        <w:rPr>
          <w:lang w:bidi="ar-EG"/>
        </w:rPr>
        <w:t>regression of the volume of export rate is considered one of the reasons of injury</w:t>
      </w:r>
      <w:r w:rsidR="00A02996">
        <w:rPr>
          <w:lang w:bidi="ar-EG"/>
        </w:rPr>
        <w:t>,</w:t>
      </w:r>
      <w:r w:rsidR="00523691">
        <w:rPr>
          <w:lang w:bidi="ar-EG"/>
        </w:rPr>
        <w:t xml:space="preserve"> unlike the claim of the local industry as it did not explain how such acute regression of exports did not impact the financial and economic indexes. </w:t>
      </w:r>
      <w:r>
        <w:rPr>
          <w:lang w:bidi="ar-EG"/>
        </w:rPr>
        <w:t xml:space="preserve"> </w:t>
      </w:r>
    </w:p>
    <w:p w:rsidR="00DC48E2" w:rsidRPr="00A02996" w:rsidRDefault="00DC48E2" w:rsidP="00895618">
      <w:pPr>
        <w:jc w:val="both"/>
        <w:rPr>
          <w:b/>
          <w:bCs/>
          <w:lang w:bidi="ar-EG"/>
        </w:rPr>
      </w:pPr>
      <w:r w:rsidRPr="00A02996">
        <w:rPr>
          <w:b/>
          <w:bCs/>
          <w:lang w:bidi="ar-EG"/>
        </w:rPr>
        <w:t>Response:</w:t>
      </w:r>
    </w:p>
    <w:p w:rsidR="00DC48E2" w:rsidRPr="00A02996" w:rsidRDefault="00DC48E2" w:rsidP="00895618">
      <w:pPr>
        <w:jc w:val="both"/>
        <w:rPr>
          <w:b/>
          <w:bCs/>
          <w:lang w:bidi="ar-EG"/>
        </w:rPr>
      </w:pPr>
      <w:r w:rsidRPr="00A02996">
        <w:rPr>
          <w:b/>
          <w:bCs/>
          <w:lang w:bidi="ar-EG"/>
        </w:rPr>
        <w:lastRenderedPageBreak/>
        <w:t>The Investigating Authority, in paragraph 4-7-5-1 of the fourth section of this report, has searched the export</w:t>
      </w:r>
      <w:r w:rsidR="000046E5">
        <w:rPr>
          <w:b/>
          <w:bCs/>
          <w:lang w:bidi="ar-EG"/>
        </w:rPr>
        <w:t>ation</w:t>
      </w:r>
      <w:r w:rsidRPr="00A02996">
        <w:rPr>
          <w:b/>
          <w:bCs/>
          <w:lang w:bidi="ar-EG"/>
        </w:rPr>
        <w:t xml:space="preserve"> performance of the local industry in detail and concluded that it </w:t>
      </w:r>
      <w:proofErr w:type="gramStart"/>
      <w:r w:rsidRPr="00A02996">
        <w:rPr>
          <w:b/>
          <w:bCs/>
          <w:lang w:bidi="ar-EG"/>
        </w:rPr>
        <w:t>is not considered</w:t>
      </w:r>
      <w:proofErr w:type="gramEnd"/>
      <w:r w:rsidRPr="00A02996">
        <w:rPr>
          <w:b/>
          <w:bCs/>
          <w:lang w:bidi="ar-EG"/>
        </w:rPr>
        <w:t xml:space="preserve"> one of the reasons of the injury to the local industry. </w:t>
      </w:r>
    </w:p>
    <w:p w:rsidR="00DC48E2" w:rsidRPr="00A02996" w:rsidRDefault="00DC48E2" w:rsidP="00895618">
      <w:pPr>
        <w:jc w:val="both"/>
        <w:rPr>
          <w:b/>
          <w:bCs/>
          <w:lang w:bidi="ar-EG"/>
        </w:rPr>
      </w:pPr>
      <w:r w:rsidRPr="00A02996">
        <w:rPr>
          <w:b/>
          <w:bCs/>
          <w:lang w:bidi="ar-EG"/>
        </w:rPr>
        <w:t>Claim 18:</w:t>
      </w:r>
    </w:p>
    <w:p w:rsidR="000541A9" w:rsidRDefault="00DC48E2" w:rsidP="00A02996">
      <w:pPr>
        <w:jc w:val="both"/>
        <w:rPr>
          <w:lang w:bidi="ar-EG"/>
        </w:rPr>
      </w:pPr>
      <w:r>
        <w:rPr>
          <w:lang w:bidi="ar-EG"/>
        </w:rPr>
        <w:t>The floating of the Egyptian pound and the rise of the US dollar against the pound during the investigated period has impacted the increase of production cost and prices directly</w:t>
      </w:r>
      <w:r w:rsidR="00A02996">
        <w:rPr>
          <w:lang w:bidi="ar-EG"/>
        </w:rPr>
        <w:t>,</w:t>
      </w:r>
      <w:r>
        <w:rPr>
          <w:lang w:bidi="ar-EG"/>
        </w:rPr>
        <w:t xml:space="preserve"> taking into consideration that the local industry </w:t>
      </w:r>
      <w:r w:rsidR="00A02996">
        <w:rPr>
          <w:lang w:bidi="ar-EG"/>
        </w:rPr>
        <w:t xml:space="preserve">relies </w:t>
      </w:r>
      <w:r>
        <w:rPr>
          <w:lang w:bidi="ar-EG"/>
        </w:rPr>
        <w:t xml:space="preserve">basically on imported alumina ore in production and pays the cost of importing in foreign currency, an aspect that led to the rise of cost to the local industry and this impacted its competitive capacity.  </w:t>
      </w:r>
      <w:r w:rsidR="00895618">
        <w:rPr>
          <w:lang w:bidi="ar-EG"/>
        </w:rPr>
        <w:t xml:space="preserve"> </w:t>
      </w:r>
      <w:r w:rsidR="00A02996">
        <w:rPr>
          <w:lang w:bidi="ar-EG"/>
        </w:rPr>
        <w:t xml:space="preserve"> </w:t>
      </w:r>
    </w:p>
    <w:p w:rsidR="000541A9" w:rsidRPr="00A02996" w:rsidRDefault="000541A9" w:rsidP="00895618">
      <w:pPr>
        <w:jc w:val="both"/>
        <w:rPr>
          <w:b/>
          <w:bCs/>
          <w:lang w:bidi="ar-EG"/>
        </w:rPr>
      </w:pPr>
      <w:r w:rsidRPr="00A02996">
        <w:rPr>
          <w:b/>
          <w:bCs/>
          <w:lang w:bidi="ar-EG"/>
        </w:rPr>
        <w:t xml:space="preserve">Response: </w:t>
      </w:r>
    </w:p>
    <w:p w:rsidR="00462C01" w:rsidRPr="00A02996" w:rsidRDefault="000541A9" w:rsidP="00CC7E6E">
      <w:pPr>
        <w:jc w:val="both"/>
        <w:rPr>
          <w:b/>
          <w:bCs/>
          <w:lang w:bidi="ar-EG"/>
        </w:rPr>
      </w:pPr>
      <w:r w:rsidRPr="00A02996">
        <w:rPr>
          <w:b/>
          <w:bCs/>
          <w:lang w:bidi="ar-EG"/>
        </w:rPr>
        <w:t>The Investigating Authority finds that the impact of floating the Egyptian pound had</w:t>
      </w:r>
      <w:r w:rsidR="00797A2C" w:rsidRPr="00A02996">
        <w:rPr>
          <w:b/>
          <w:bCs/>
          <w:lang w:bidi="ar-EG"/>
        </w:rPr>
        <w:t xml:space="preserve"> an equal impact on the local industry and imports represented in importers</w:t>
      </w:r>
      <w:r w:rsidR="00722D6A" w:rsidRPr="00A02996">
        <w:rPr>
          <w:b/>
          <w:bCs/>
          <w:lang w:bidi="ar-EG"/>
        </w:rPr>
        <w:t xml:space="preserve">; the US dollar is the basic </w:t>
      </w:r>
      <w:r w:rsidR="00CC7E6E">
        <w:rPr>
          <w:b/>
          <w:bCs/>
          <w:lang w:bidi="ar-EG"/>
        </w:rPr>
        <w:t>currency for imported products and</w:t>
      </w:r>
      <w:r w:rsidR="00722D6A" w:rsidRPr="00A02996">
        <w:rPr>
          <w:b/>
          <w:bCs/>
          <w:lang w:bidi="ar-EG"/>
        </w:rPr>
        <w:t xml:space="preserve"> the raw material necessary for the local industry to produce the product subject to investigation. In addition, pricing aluminum products </w:t>
      </w:r>
      <w:r w:rsidR="00CC7E6E">
        <w:rPr>
          <w:b/>
          <w:bCs/>
          <w:lang w:bidi="ar-EG"/>
        </w:rPr>
        <w:t>is based on</w:t>
      </w:r>
      <w:r w:rsidR="00722D6A" w:rsidRPr="00A02996">
        <w:rPr>
          <w:b/>
          <w:bCs/>
          <w:lang w:bidi="ar-EG"/>
        </w:rPr>
        <w:t xml:space="preserve"> world prices.  </w:t>
      </w:r>
    </w:p>
    <w:p w:rsidR="00462C01" w:rsidRPr="00A02996" w:rsidRDefault="00462C01" w:rsidP="00722D6A">
      <w:pPr>
        <w:jc w:val="both"/>
        <w:rPr>
          <w:b/>
          <w:bCs/>
          <w:u w:val="single"/>
          <w:lang w:bidi="ar-EG"/>
        </w:rPr>
      </w:pPr>
      <w:r w:rsidRPr="00A02996">
        <w:rPr>
          <w:b/>
          <w:bCs/>
          <w:u w:val="single"/>
          <w:lang w:bidi="ar-EG"/>
        </w:rPr>
        <w:t xml:space="preserve">Claim 19: </w:t>
      </w:r>
    </w:p>
    <w:p w:rsidR="00A60554" w:rsidRDefault="00462C01" w:rsidP="008B50B1">
      <w:pPr>
        <w:jc w:val="both"/>
        <w:rPr>
          <w:lang w:bidi="ar-EG"/>
        </w:rPr>
      </w:pPr>
      <w:r>
        <w:rPr>
          <w:lang w:bidi="ar-EG"/>
        </w:rPr>
        <w:t xml:space="preserve">The complaint did not secure the condition </w:t>
      </w:r>
      <w:r w:rsidR="00653265">
        <w:rPr>
          <w:lang w:bidi="ar-EG"/>
        </w:rPr>
        <w:t>of unexpected circumstances as a</w:t>
      </w:r>
      <w:r>
        <w:rPr>
          <w:lang w:bidi="ar-EG"/>
        </w:rPr>
        <w:t>dopte</w:t>
      </w:r>
      <w:r w:rsidR="00653265">
        <w:rPr>
          <w:lang w:bidi="ar-EG"/>
        </w:rPr>
        <w:t>d</w:t>
      </w:r>
      <w:r>
        <w:rPr>
          <w:lang w:bidi="ar-EG"/>
        </w:rPr>
        <w:t xml:space="preserve"> by the WTO Appellate</w:t>
      </w:r>
      <w:r w:rsidR="00653265">
        <w:rPr>
          <w:lang w:bidi="ar-EG"/>
        </w:rPr>
        <w:t xml:space="preserve"> Body in the two cases of Korean dairy and Argentinean shoes and the case of steel, USA, an aspect that was not addressed by the </w:t>
      </w:r>
      <w:r w:rsidR="0004590B">
        <w:rPr>
          <w:lang w:bidi="ar-EG"/>
        </w:rPr>
        <w:t>complaint; it was confined to</w:t>
      </w:r>
      <w:r w:rsidR="008B50B1">
        <w:rPr>
          <w:lang w:bidi="ar-EG"/>
        </w:rPr>
        <w:t xml:space="preserve"> referring to the increase</w:t>
      </w:r>
      <w:r w:rsidR="003F550A">
        <w:rPr>
          <w:lang w:bidi="ar-EG"/>
        </w:rPr>
        <w:t xml:space="preserve"> of production capacity of most of the Asian companies and Gulf countries. Furthermore, the argument that US imposition of </w:t>
      </w:r>
      <w:r w:rsidR="008B50B1">
        <w:rPr>
          <w:lang w:bidi="ar-EG"/>
        </w:rPr>
        <w:t>definitive safeguard duties</w:t>
      </w:r>
      <w:r w:rsidR="003F550A">
        <w:rPr>
          <w:lang w:bidi="ar-EG"/>
        </w:rPr>
        <w:t xml:space="preserve"> on some steel and aluminum products from the People´s Republic of China and some countries led China to change route and channel its products to the Egyptian market is an unsupported argument for several reasons. Among these reasons is that Chinese exports have regressed during the period of evaluating the substantial injury, Gulf countries are no</w:t>
      </w:r>
      <w:r w:rsidR="008B50B1">
        <w:rPr>
          <w:lang w:bidi="ar-EG"/>
        </w:rPr>
        <w:t>t targeted with anti-dumping dutie</w:t>
      </w:r>
      <w:r w:rsidR="003F550A">
        <w:rPr>
          <w:lang w:bidi="ar-EG"/>
        </w:rPr>
        <w:t>s or safeguard measures applied by the importing countries. Therefore, the Egyptian Investigating Authority should verify the condition of the unexpected developments</w:t>
      </w:r>
      <w:r w:rsidR="00A76269">
        <w:rPr>
          <w:lang w:bidi="ar-EG"/>
        </w:rPr>
        <w:t>. Thus, the complaint presented by the local industry did not address any sufficient or logical analysis of the unexpected developments prescribed in article 19 of the</w:t>
      </w:r>
      <w:r w:rsidR="00A76269" w:rsidRPr="00A76269">
        <w:rPr>
          <w:lang w:bidi="ar-EG"/>
        </w:rPr>
        <w:t xml:space="preserve"> General Agreement on Tariffs and Trade (GATT)</w:t>
      </w:r>
      <w:r w:rsidR="00A76269">
        <w:rPr>
          <w:lang w:bidi="ar-EG"/>
        </w:rPr>
        <w:t xml:space="preserve"> 1994 </w:t>
      </w:r>
      <w:r w:rsidR="00F904FC">
        <w:rPr>
          <w:lang w:bidi="ar-EG"/>
        </w:rPr>
        <w:t>or the impact of such circumstances on the increase of the volume of imports of the product subject to investigation that caused substantial injury to the local industry in accordance to the recommendations issued in several similar cases</w:t>
      </w:r>
      <w:r w:rsidR="008B50B1">
        <w:rPr>
          <w:lang w:bidi="ar-EG"/>
        </w:rPr>
        <w:t xml:space="preserve">. Among </w:t>
      </w:r>
      <w:r w:rsidR="00F904FC">
        <w:rPr>
          <w:lang w:bidi="ar-EG"/>
        </w:rPr>
        <w:t>the</w:t>
      </w:r>
      <w:r w:rsidR="008B50B1">
        <w:rPr>
          <w:lang w:bidi="ar-EG"/>
        </w:rPr>
        <w:t>se is the</w:t>
      </w:r>
      <w:r w:rsidR="00510D4B">
        <w:rPr>
          <w:lang w:bidi="ar-EG"/>
        </w:rPr>
        <w:t xml:space="preserve"> rebar case filed by the USA,</w:t>
      </w:r>
      <w:r w:rsidR="00A60554">
        <w:rPr>
          <w:lang w:bidi="ar-EG"/>
        </w:rPr>
        <w:t xml:space="preserve"> on </w:t>
      </w:r>
      <w:r w:rsidR="00510D4B">
        <w:rPr>
          <w:lang w:bidi="ar-EG"/>
        </w:rPr>
        <w:t xml:space="preserve">which </w:t>
      </w:r>
      <w:r w:rsidR="00A60554">
        <w:rPr>
          <w:lang w:bidi="ar-EG"/>
        </w:rPr>
        <w:t>the Dispute Settlement Body (DSB) recommended the necessity of having a causal link between the unexpected development and the increase of</w:t>
      </w:r>
      <w:r w:rsidR="00510D4B">
        <w:rPr>
          <w:lang w:bidi="ar-EG"/>
        </w:rPr>
        <w:t xml:space="preserve"> the</w:t>
      </w:r>
      <w:r w:rsidR="00A60554">
        <w:rPr>
          <w:lang w:bidi="ar-EG"/>
        </w:rPr>
        <w:t xml:space="preserve"> imports of the product subject to investigation. </w:t>
      </w:r>
    </w:p>
    <w:p w:rsidR="00A60554" w:rsidRPr="00A60554" w:rsidRDefault="00A60554" w:rsidP="00A60554">
      <w:pPr>
        <w:jc w:val="both"/>
        <w:rPr>
          <w:b/>
          <w:bCs/>
          <w:lang w:bidi="ar-EG"/>
        </w:rPr>
      </w:pPr>
      <w:r w:rsidRPr="00A60554">
        <w:rPr>
          <w:b/>
          <w:bCs/>
          <w:lang w:bidi="ar-EG"/>
        </w:rPr>
        <w:t xml:space="preserve">Response: </w:t>
      </w:r>
    </w:p>
    <w:p w:rsidR="00A60554" w:rsidRPr="00A60554" w:rsidRDefault="00A60554" w:rsidP="00794EF9">
      <w:pPr>
        <w:jc w:val="both"/>
        <w:rPr>
          <w:b/>
          <w:bCs/>
          <w:lang w:bidi="ar-EG"/>
        </w:rPr>
      </w:pPr>
      <w:r w:rsidRPr="00A60554">
        <w:rPr>
          <w:b/>
          <w:bCs/>
          <w:lang w:bidi="ar-EG"/>
        </w:rPr>
        <w:t xml:space="preserve">The unexpected developments have been searched in section three of this report and the Investigation Authority realized that the increase of production capacity of the countries exporting the concerned products in addition to the USA imposition of definitive safeguard </w:t>
      </w:r>
      <w:r w:rsidR="00794EF9">
        <w:rPr>
          <w:b/>
          <w:bCs/>
          <w:lang w:bidi="ar-EG"/>
        </w:rPr>
        <w:t>duties</w:t>
      </w:r>
      <w:r w:rsidRPr="00A60554">
        <w:rPr>
          <w:b/>
          <w:bCs/>
          <w:lang w:bidi="ar-EG"/>
        </w:rPr>
        <w:t xml:space="preserve"> on some</w:t>
      </w:r>
      <w:r w:rsidR="00794EF9">
        <w:rPr>
          <w:b/>
          <w:bCs/>
          <w:lang w:bidi="ar-EG"/>
        </w:rPr>
        <w:t xml:space="preserve"> steel </w:t>
      </w:r>
      <w:r w:rsidR="00794EF9">
        <w:rPr>
          <w:b/>
          <w:bCs/>
          <w:lang w:bidi="ar-EG"/>
        </w:rPr>
        <w:lastRenderedPageBreak/>
        <w:t>and aluminum products have</w:t>
      </w:r>
      <w:r w:rsidRPr="00A60554">
        <w:rPr>
          <w:b/>
          <w:bCs/>
          <w:lang w:bidi="ar-EG"/>
        </w:rPr>
        <w:t xml:space="preserve"> led the exporting countries to target other markets other than the USA including Egypt, an aspect that led to the rise of imports recently, acutely and suddenly, thus substantially injuring the industry. </w:t>
      </w:r>
    </w:p>
    <w:p w:rsidR="00A60554" w:rsidRPr="0089418D" w:rsidRDefault="00A60554" w:rsidP="00A60554">
      <w:pPr>
        <w:jc w:val="both"/>
        <w:rPr>
          <w:b/>
          <w:bCs/>
          <w:u w:val="single"/>
          <w:lang w:bidi="ar-EG"/>
        </w:rPr>
      </w:pPr>
      <w:r w:rsidRPr="0089418D">
        <w:rPr>
          <w:b/>
          <w:bCs/>
          <w:u w:val="single"/>
          <w:lang w:bidi="ar-EG"/>
        </w:rPr>
        <w:t>Claim 20:</w:t>
      </w:r>
    </w:p>
    <w:p w:rsidR="00CB72B4" w:rsidRDefault="00A60554" w:rsidP="004E39AE">
      <w:pPr>
        <w:jc w:val="both"/>
        <w:rPr>
          <w:lang w:bidi="ar-EG"/>
        </w:rPr>
      </w:pPr>
      <w:r>
        <w:rPr>
          <w:lang w:bidi="ar-EG"/>
        </w:rPr>
        <w:t>Imposing any safeguard measures on the imports of the product subject to investigation</w:t>
      </w:r>
      <w:r w:rsidR="004E39AE">
        <w:rPr>
          <w:lang w:bidi="ar-EG"/>
        </w:rPr>
        <w:t xml:space="preserve"> may injure the common</w:t>
      </w:r>
      <w:r w:rsidR="00F27354">
        <w:rPr>
          <w:lang w:bidi="ar-EG"/>
        </w:rPr>
        <w:t xml:space="preserve"> interest and will lead the local industry to monopoly, especially that it represents 100% of the total production of the local market. This</w:t>
      </w:r>
      <w:r w:rsidR="004E39AE">
        <w:rPr>
          <w:lang w:bidi="ar-EG"/>
        </w:rPr>
        <w:t>,</w:t>
      </w:r>
      <w:r w:rsidR="00F27354">
        <w:rPr>
          <w:lang w:bidi="ar-EG"/>
        </w:rPr>
        <w:t xml:space="preserve"> in turn</w:t>
      </w:r>
      <w:r w:rsidR="004E39AE">
        <w:rPr>
          <w:lang w:bidi="ar-EG"/>
        </w:rPr>
        <w:t>,</w:t>
      </w:r>
      <w:r w:rsidR="00F27354">
        <w:rPr>
          <w:lang w:bidi="ar-EG"/>
        </w:rPr>
        <w:t xml:space="preserve"> </w:t>
      </w:r>
      <w:r w:rsidR="004E39AE">
        <w:rPr>
          <w:lang w:bidi="ar-EG"/>
        </w:rPr>
        <w:t xml:space="preserve">will </w:t>
      </w:r>
      <w:r w:rsidR="00F27354">
        <w:rPr>
          <w:lang w:bidi="ar-EG"/>
        </w:rPr>
        <w:t xml:space="preserve">lead to an unjustified rise in prices and shoulder consumers and the industries related to the product subject to investigation further burdens, an aspect that will impact inclusive economic development plans. Imposing measures will lead to laying off many workers especially in the industries that use the product subject to investigation as an industrial input, which will lead many investors to leave the Egyptian market and close some importing companies that serve other vital sectors. Imposing measures will damage the </w:t>
      </w:r>
      <w:r w:rsidR="004E39AE">
        <w:rPr>
          <w:lang w:bidi="ar-EG"/>
        </w:rPr>
        <w:t>common</w:t>
      </w:r>
      <w:r w:rsidR="00F27354">
        <w:rPr>
          <w:lang w:bidi="ar-EG"/>
        </w:rPr>
        <w:t xml:space="preserve"> interest be that of the industry or consumers due to the incapacity of the complainant local industry to meet the</w:t>
      </w:r>
      <w:r w:rsidR="004E39AE">
        <w:rPr>
          <w:lang w:bidi="ar-EG"/>
        </w:rPr>
        <w:t xml:space="preserve"> </w:t>
      </w:r>
      <w:r w:rsidR="00F27354">
        <w:rPr>
          <w:lang w:bidi="ar-EG"/>
        </w:rPr>
        <w:t xml:space="preserve">local demand for the time being or in the future, especially that </w:t>
      </w:r>
      <w:proofErr w:type="spellStart"/>
      <w:r w:rsidR="00F27354">
        <w:rPr>
          <w:lang w:bidi="ar-EG"/>
        </w:rPr>
        <w:t>Misr</w:t>
      </w:r>
      <w:proofErr w:type="spellEnd"/>
      <w:r w:rsidR="00F27354">
        <w:rPr>
          <w:lang w:bidi="ar-EG"/>
        </w:rPr>
        <w:t xml:space="preserve"> Aluminum company is the only producer of the product subject to investigation in the light of the fact that the company adopts an exportation </w:t>
      </w:r>
      <w:r w:rsidR="004E39AE">
        <w:rPr>
          <w:lang w:bidi="ar-EG"/>
        </w:rPr>
        <w:t>polic</w:t>
      </w:r>
      <w:r w:rsidR="00F27354">
        <w:rPr>
          <w:lang w:bidi="ar-EG"/>
        </w:rPr>
        <w:t xml:space="preserve">y and exports 50% of its production. Furthermore, the rise of other industries that use the product subject to investigation as </w:t>
      </w:r>
      <w:r w:rsidR="004E39AE">
        <w:rPr>
          <w:lang w:bidi="ar-EG"/>
        </w:rPr>
        <w:t xml:space="preserve">an </w:t>
      </w:r>
      <w:r w:rsidR="00F27354">
        <w:rPr>
          <w:lang w:bidi="ar-EG"/>
        </w:rPr>
        <w:t xml:space="preserve">industrial input for other industries will injure a very big sector of vital transformational industries and will raise the price of household utensils, equipment and electric appliances among other industries that use aluminum as an industrial input.    </w:t>
      </w:r>
      <w:r>
        <w:rPr>
          <w:lang w:bidi="ar-EG"/>
        </w:rPr>
        <w:t xml:space="preserve"> </w:t>
      </w:r>
      <w:r w:rsidR="00F904FC">
        <w:rPr>
          <w:lang w:bidi="ar-EG"/>
        </w:rPr>
        <w:t xml:space="preserve"> </w:t>
      </w:r>
      <w:r w:rsidR="00A76269">
        <w:rPr>
          <w:lang w:bidi="ar-EG"/>
        </w:rPr>
        <w:t xml:space="preserve"> </w:t>
      </w:r>
    </w:p>
    <w:p w:rsidR="00CB72B4" w:rsidRPr="00C86D3E" w:rsidRDefault="00CB72B4" w:rsidP="00F27354">
      <w:pPr>
        <w:jc w:val="both"/>
        <w:rPr>
          <w:b/>
          <w:bCs/>
          <w:lang w:bidi="ar-EG"/>
        </w:rPr>
      </w:pPr>
      <w:r w:rsidRPr="00C86D3E">
        <w:rPr>
          <w:b/>
          <w:bCs/>
          <w:lang w:bidi="ar-EG"/>
        </w:rPr>
        <w:t xml:space="preserve">Response: </w:t>
      </w:r>
    </w:p>
    <w:p w:rsidR="00061EAD" w:rsidRPr="00C86D3E" w:rsidRDefault="00CB72B4" w:rsidP="001C730E">
      <w:pPr>
        <w:jc w:val="both"/>
        <w:rPr>
          <w:b/>
          <w:bCs/>
          <w:lang w:bidi="ar-EG"/>
        </w:rPr>
      </w:pPr>
      <w:r w:rsidRPr="00C86D3E">
        <w:rPr>
          <w:b/>
          <w:bCs/>
          <w:lang w:bidi="ar-EG"/>
        </w:rPr>
        <w:t>Safeguard</w:t>
      </w:r>
      <w:r w:rsidR="00C86D3E">
        <w:rPr>
          <w:b/>
          <w:bCs/>
          <w:lang w:bidi="ar-EG"/>
        </w:rPr>
        <w:t xml:space="preserve"> duties</w:t>
      </w:r>
      <w:r w:rsidRPr="00C86D3E">
        <w:rPr>
          <w:b/>
          <w:bCs/>
          <w:lang w:bidi="ar-EG"/>
        </w:rPr>
        <w:t xml:space="preserve"> do not target banning importation absolutely, and will not lead to monopoly; lowering the prices of the imported product is one form of monopoly, not the rise of prices. Companies export at very low prices temporarily </w:t>
      </w:r>
      <w:r w:rsidR="001C730E">
        <w:rPr>
          <w:b/>
          <w:bCs/>
          <w:lang w:bidi="ar-EG"/>
        </w:rPr>
        <w:t>unti</w:t>
      </w:r>
      <w:r w:rsidRPr="00C86D3E">
        <w:rPr>
          <w:b/>
          <w:bCs/>
          <w:lang w:bidi="ar-EG"/>
        </w:rPr>
        <w:t xml:space="preserve">l </w:t>
      </w:r>
      <w:r w:rsidR="001C730E">
        <w:rPr>
          <w:b/>
          <w:bCs/>
          <w:lang w:bidi="ar-EG"/>
        </w:rPr>
        <w:t xml:space="preserve">they </w:t>
      </w:r>
      <w:r w:rsidRPr="00C86D3E">
        <w:rPr>
          <w:b/>
          <w:bCs/>
          <w:lang w:bidi="ar-EG"/>
        </w:rPr>
        <w:t xml:space="preserve">control the market then they raise prices and harm the final consumer, and in turn the industry using the products subject </w:t>
      </w:r>
      <w:r w:rsidR="001C730E">
        <w:rPr>
          <w:b/>
          <w:bCs/>
          <w:lang w:bidi="ar-EG"/>
        </w:rPr>
        <w:t>to</w:t>
      </w:r>
      <w:r w:rsidRPr="00C86D3E">
        <w:rPr>
          <w:b/>
          <w:bCs/>
          <w:lang w:bidi="ar-EG"/>
        </w:rPr>
        <w:t xml:space="preserve"> investigation as production inputs. In addition, importing companies may resort to one of two choices: either import</w:t>
      </w:r>
      <w:r w:rsidR="001C730E">
        <w:rPr>
          <w:b/>
          <w:bCs/>
          <w:lang w:bidi="ar-EG"/>
        </w:rPr>
        <w:t>ing</w:t>
      </w:r>
      <w:r w:rsidRPr="00C86D3E">
        <w:rPr>
          <w:b/>
          <w:bCs/>
          <w:lang w:bidi="ar-EG"/>
        </w:rPr>
        <w:t xml:space="preserve"> the product in the light of effective </w:t>
      </w:r>
      <w:r w:rsidR="001C730E">
        <w:rPr>
          <w:b/>
          <w:bCs/>
          <w:lang w:bidi="ar-EG"/>
        </w:rPr>
        <w:t>dutie</w:t>
      </w:r>
      <w:r w:rsidRPr="00C86D3E">
        <w:rPr>
          <w:b/>
          <w:bCs/>
          <w:lang w:bidi="ar-EG"/>
        </w:rPr>
        <w:t>s, but at fair import cost</w:t>
      </w:r>
      <w:r w:rsidR="001C730E">
        <w:rPr>
          <w:b/>
          <w:bCs/>
          <w:lang w:bidi="ar-EG"/>
        </w:rPr>
        <w:t>,</w:t>
      </w:r>
      <w:r w:rsidRPr="00C86D3E">
        <w:rPr>
          <w:b/>
          <w:bCs/>
          <w:lang w:bidi="ar-EG"/>
        </w:rPr>
        <w:t xml:space="preserve"> or b</w:t>
      </w:r>
      <w:r w:rsidR="001C730E">
        <w:rPr>
          <w:b/>
          <w:bCs/>
          <w:lang w:bidi="ar-EG"/>
        </w:rPr>
        <w:t>u</w:t>
      </w:r>
      <w:r w:rsidRPr="00C86D3E">
        <w:rPr>
          <w:b/>
          <w:bCs/>
          <w:lang w:bidi="ar-EG"/>
        </w:rPr>
        <w:t>y</w:t>
      </w:r>
      <w:r w:rsidR="001C730E">
        <w:rPr>
          <w:b/>
          <w:bCs/>
          <w:lang w:bidi="ar-EG"/>
        </w:rPr>
        <w:t>ing</w:t>
      </w:r>
      <w:r w:rsidRPr="00C86D3E">
        <w:rPr>
          <w:b/>
          <w:bCs/>
          <w:lang w:bidi="ar-EG"/>
        </w:rPr>
        <w:t xml:space="preserve"> the local product. Furthermore, limiting importation will contribute to diminishing the trade balance deficit and protect the foreign currency by curbing the importation of products that have a local alternative. As for the claim that the complainant company cannot meet the local demand</w:t>
      </w:r>
      <w:r w:rsidR="001C730E">
        <w:rPr>
          <w:b/>
          <w:bCs/>
          <w:lang w:bidi="ar-EG"/>
        </w:rPr>
        <w:t>,</w:t>
      </w:r>
      <w:r w:rsidRPr="00C86D3E">
        <w:rPr>
          <w:b/>
          <w:bCs/>
          <w:lang w:bidi="ar-EG"/>
        </w:rPr>
        <w:t xml:space="preserve"> that it is adopting an exportation policy</w:t>
      </w:r>
      <w:r w:rsidR="001C730E">
        <w:rPr>
          <w:b/>
          <w:bCs/>
          <w:lang w:bidi="ar-EG"/>
        </w:rPr>
        <w:t>,</w:t>
      </w:r>
      <w:r w:rsidRPr="00C86D3E">
        <w:rPr>
          <w:b/>
          <w:bCs/>
          <w:lang w:bidi="ar-EG"/>
        </w:rPr>
        <w:t xml:space="preserve"> and that it exports 50% of its production, this c</w:t>
      </w:r>
      <w:r w:rsidR="004E236D" w:rsidRPr="00C86D3E">
        <w:rPr>
          <w:b/>
          <w:bCs/>
          <w:lang w:bidi="ar-EG"/>
        </w:rPr>
        <w:t>laim is not supported by eviden</w:t>
      </w:r>
      <w:r w:rsidRPr="00C86D3E">
        <w:rPr>
          <w:b/>
          <w:bCs/>
          <w:lang w:bidi="ar-EG"/>
        </w:rPr>
        <w:t>ces</w:t>
      </w:r>
      <w:r w:rsidR="00061EAD" w:rsidRPr="00C86D3E">
        <w:rPr>
          <w:b/>
          <w:bCs/>
          <w:lang w:bidi="ar-EG"/>
        </w:rPr>
        <w:t xml:space="preserve"> on the company’s inability to meet the needs of the local market. Even if the company is exporting 50% of its products, still it is incapable of selling the other half of its production due to the increased amount of imports. It</w:t>
      </w:r>
      <w:r w:rsidR="001C730E">
        <w:rPr>
          <w:b/>
          <w:bCs/>
          <w:lang w:bidi="ar-EG"/>
        </w:rPr>
        <w:t xml:space="preserve"> further has surplus </w:t>
      </w:r>
      <w:r w:rsidR="00061EAD" w:rsidRPr="00C86D3E">
        <w:rPr>
          <w:b/>
          <w:bCs/>
          <w:lang w:bidi="ar-EG"/>
        </w:rPr>
        <w:t xml:space="preserve">capacity even in the light of exporting a big amount of its production; however, the industry is incapable of using it because of the increasing imports.  </w:t>
      </w:r>
    </w:p>
    <w:p w:rsidR="00061EAD" w:rsidRPr="004B44AA" w:rsidRDefault="004B44AA" w:rsidP="00061EAD">
      <w:pPr>
        <w:pStyle w:val="ListParagraph"/>
        <w:numPr>
          <w:ilvl w:val="0"/>
          <w:numId w:val="4"/>
        </w:numPr>
        <w:jc w:val="both"/>
        <w:rPr>
          <w:b/>
          <w:bCs/>
          <w:lang w:bidi="ar-EG"/>
        </w:rPr>
      </w:pPr>
      <w:r w:rsidRPr="004B44AA">
        <w:rPr>
          <w:b/>
          <w:bCs/>
          <w:lang w:bidi="ar-EG"/>
        </w:rPr>
        <w:t>Common</w:t>
      </w:r>
      <w:r w:rsidR="00061EAD" w:rsidRPr="004B44AA">
        <w:rPr>
          <w:b/>
          <w:bCs/>
          <w:lang w:bidi="ar-EG"/>
        </w:rPr>
        <w:t xml:space="preserve"> interest</w:t>
      </w:r>
    </w:p>
    <w:p w:rsidR="00061EAD" w:rsidRDefault="00061EAD" w:rsidP="00312150">
      <w:pPr>
        <w:jc w:val="both"/>
        <w:rPr>
          <w:lang w:bidi="ar-EG"/>
        </w:rPr>
      </w:pPr>
      <w:r>
        <w:rPr>
          <w:lang w:bidi="ar-EG"/>
        </w:rPr>
        <w:t xml:space="preserve">8-1 paragraph two of article (3) of the </w:t>
      </w:r>
      <w:r w:rsidR="004B44AA">
        <w:rPr>
          <w:lang w:bidi="ar-EG"/>
        </w:rPr>
        <w:t xml:space="preserve">Safeguard Agreement </w:t>
      </w:r>
      <w:r>
        <w:rPr>
          <w:lang w:bidi="ar-EG"/>
        </w:rPr>
        <w:t xml:space="preserve">sets out that “the investigation shall notify all the concerned parties in a public and reasonable method and hold public hearings or any other means that allow importers and exporters among other concerned parties to present the viewpoints </w:t>
      </w:r>
      <w:r>
        <w:rPr>
          <w:lang w:bidi="ar-EG"/>
        </w:rPr>
        <w:lastRenderedPageBreak/>
        <w:t xml:space="preserve">thereof, among others, on whether the application of a safeguard measure serves the </w:t>
      </w:r>
      <w:r w:rsidR="001C730E">
        <w:rPr>
          <w:lang w:bidi="ar-EG"/>
        </w:rPr>
        <w:t>common</w:t>
      </w:r>
      <w:r>
        <w:rPr>
          <w:lang w:bidi="ar-EG"/>
        </w:rPr>
        <w:t xml:space="preserve"> interest</w:t>
      </w:r>
      <w:r w:rsidR="001C730E">
        <w:rPr>
          <w:lang w:bidi="ar-EG"/>
        </w:rPr>
        <w:t xml:space="preserve"> or not</w:t>
      </w:r>
      <w:r>
        <w:rPr>
          <w:lang w:bidi="ar-EG"/>
        </w:rPr>
        <w:t xml:space="preserve">. The competent authority shall issue a report in which the findings realized and the causal conclusions on all the relevant </w:t>
      </w:r>
      <w:r w:rsidR="00312150">
        <w:rPr>
          <w:lang w:bidi="ar-EG"/>
        </w:rPr>
        <w:t xml:space="preserve">legal and scientific </w:t>
      </w:r>
      <w:r>
        <w:rPr>
          <w:lang w:bidi="ar-EG"/>
        </w:rPr>
        <w:t>aspects shall be presented.”</w:t>
      </w:r>
    </w:p>
    <w:p w:rsidR="004B44AA" w:rsidRDefault="00061EAD" w:rsidP="004B44AA">
      <w:pPr>
        <w:jc w:val="both"/>
        <w:rPr>
          <w:lang w:bidi="ar-EG"/>
        </w:rPr>
      </w:pPr>
      <w:r>
        <w:rPr>
          <w:lang w:bidi="ar-EG"/>
        </w:rPr>
        <w:t xml:space="preserve">8-2 the Investigating Authority finds that imposing safeguard measures on aluminum productions will serve </w:t>
      </w:r>
      <w:r w:rsidR="004B44AA">
        <w:rPr>
          <w:lang w:bidi="ar-EG"/>
        </w:rPr>
        <w:t xml:space="preserve">common interest for the following reasons: </w:t>
      </w:r>
    </w:p>
    <w:p w:rsidR="00C223BE" w:rsidRDefault="004B44AA" w:rsidP="00312150">
      <w:pPr>
        <w:pStyle w:val="ListParagraph"/>
        <w:numPr>
          <w:ilvl w:val="0"/>
          <w:numId w:val="7"/>
        </w:numPr>
        <w:jc w:val="both"/>
        <w:rPr>
          <w:lang w:bidi="ar-EG"/>
        </w:rPr>
      </w:pPr>
      <w:proofErr w:type="spellStart"/>
      <w:r>
        <w:rPr>
          <w:lang w:bidi="ar-EG"/>
        </w:rPr>
        <w:t>Misr</w:t>
      </w:r>
      <w:proofErr w:type="spellEnd"/>
      <w:r>
        <w:rPr>
          <w:lang w:bidi="ar-EG"/>
        </w:rPr>
        <w:t xml:space="preserve"> Aluminum Company has been contributing to realizing economic development in Egypt since more than four decades, since establishment, as it contributed to realizing human development through creating an integrated </w:t>
      </w:r>
      <w:r w:rsidR="00C223BE">
        <w:rPr>
          <w:lang w:bidi="ar-EG"/>
        </w:rPr>
        <w:t xml:space="preserve">urban community on a big space south Egypt with a big population, an aspect that enhances its social role. </w:t>
      </w:r>
    </w:p>
    <w:p w:rsidR="00571147" w:rsidRDefault="00C223BE" w:rsidP="00B17D19">
      <w:pPr>
        <w:pStyle w:val="ListParagraph"/>
        <w:numPr>
          <w:ilvl w:val="0"/>
          <w:numId w:val="7"/>
        </w:numPr>
        <w:jc w:val="both"/>
        <w:rPr>
          <w:lang w:bidi="ar-EG"/>
        </w:rPr>
      </w:pPr>
      <w:r>
        <w:rPr>
          <w:lang w:bidi="ar-EG"/>
        </w:rPr>
        <w:t>In addition, the Company contributes to Egypt’s national income as it</w:t>
      </w:r>
      <w:r w:rsidR="00312150">
        <w:rPr>
          <w:lang w:bidi="ar-EG"/>
        </w:rPr>
        <w:t>s</w:t>
      </w:r>
      <w:r>
        <w:rPr>
          <w:lang w:bidi="ar-EG"/>
        </w:rPr>
        <w:t xml:space="preserve"> contributions reach more than </w:t>
      </w:r>
      <w:r w:rsidR="005E627C">
        <w:rPr>
          <w:lang w:bidi="ar-EG"/>
        </w:rPr>
        <w:t>EGP 40 billion represented in taxes</w:t>
      </w:r>
      <w:r w:rsidR="005A5F3A">
        <w:rPr>
          <w:lang w:bidi="ar-EG"/>
        </w:rPr>
        <w:t>,</w:t>
      </w:r>
      <w:r w:rsidR="005E627C">
        <w:rPr>
          <w:lang w:bidi="ar-EG"/>
        </w:rPr>
        <w:t xml:space="preserve"> commodity fees</w:t>
      </w:r>
      <w:r w:rsidR="005A5F3A">
        <w:rPr>
          <w:lang w:bidi="ar-EG"/>
        </w:rPr>
        <w:t>,</w:t>
      </w:r>
      <w:r w:rsidR="005E627C">
        <w:rPr>
          <w:lang w:bidi="ar-EG"/>
        </w:rPr>
        <w:t xml:space="preserve"> and fees on production components</w:t>
      </w:r>
      <w:r w:rsidR="00B17D19">
        <w:rPr>
          <w:lang w:bidi="ar-EG"/>
        </w:rPr>
        <w:t xml:space="preserve">, in addition to its clear impact on creating direct and indirect job opportunities that serve the population of the region and </w:t>
      </w:r>
      <w:proofErr w:type="spellStart"/>
      <w:r w:rsidR="00B17D19">
        <w:rPr>
          <w:lang w:bidi="ar-EG"/>
        </w:rPr>
        <w:t>neighbouring</w:t>
      </w:r>
      <w:proofErr w:type="spellEnd"/>
      <w:r w:rsidR="00B17D19">
        <w:rPr>
          <w:lang w:bidi="ar-EG"/>
        </w:rPr>
        <w:t xml:space="preserve"> regions, which in the end helps </w:t>
      </w:r>
      <w:proofErr w:type="spellStart"/>
      <w:r w:rsidR="00B17D19">
        <w:rPr>
          <w:lang w:bidi="ar-EG"/>
        </w:rPr>
        <w:t>realise</w:t>
      </w:r>
      <w:proofErr w:type="spellEnd"/>
      <w:r w:rsidR="00B17D19">
        <w:rPr>
          <w:lang w:bidi="ar-EG"/>
        </w:rPr>
        <w:t xml:space="preserve"> socioeconomic development while maintaining security role, enhancing national income, absorbing a bracket of trained technical </w:t>
      </w:r>
      <w:proofErr w:type="spellStart"/>
      <w:r w:rsidR="00B17D19">
        <w:rPr>
          <w:lang w:bidi="ar-EG"/>
        </w:rPr>
        <w:t>labour</w:t>
      </w:r>
      <w:proofErr w:type="spellEnd"/>
      <w:r w:rsidR="00B17D19">
        <w:rPr>
          <w:lang w:bidi="ar-EG"/>
        </w:rPr>
        <w:t xml:space="preserve">, and facing unemployment.   </w:t>
      </w:r>
      <w:r w:rsidR="005E627C">
        <w:rPr>
          <w:lang w:bidi="ar-EG"/>
        </w:rPr>
        <w:t xml:space="preserve"> </w:t>
      </w:r>
      <w:r w:rsidR="004B44AA">
        <w:rPr>
          <w:lang w:bidi="ar-EG"/>
        </w:rPr>
        <w:t xml:space="preserve"> </w:t>
      </w:r>
      <w:r w:rsidR="00061EAD">
        <w:rPr>
          <w:lang w:bidi="ar-EG"/>
        </w:rPr>
        <w:t xml:space="preserve">   </w:t>
      </w:r>
    </w:p>
    <w:p w:rsidR="00EF3528" w:rsidRDefault="00571147" w:rsidP="00632113">
      <w:pPr>
        <w:pStyle w:val="ListParagraph"/>
        <w:numPr>
          <w:ilvl w:val="0"/>
          <w:numId w:val="7"/>
        </w:numPr>
        <w:jc w:val="both"/>
        <w:rPr>
          <w:lang w:bidi="ar-EG"/>
        </w:rPr>
      </w:pPr>
      <w:r>
        <w:rPr>
          <w:lang w:bidi="ar-EG"/>
        </w:rPr>
        <w:t>Lowering the import rate of aluminum products and replacing them with local products with the purpose of maintaining foreign currency and diminishing trade balance deficit which a basic pillar in lowering the state budget deficit, meanwhile enabl</w:t>
      </w:r>
      <w:r w:rsidR="00632113">
        <w:rPr>
          <w:lang w:bidi="ar-EG"/>
        </w:rPr>
        <w:t>ing</w:t>
      </w:r>
      <w:r>
        <w:rPr>
          <w:lang w:bidi="ar-EG"/>
        </w:rPr>
        <w:t xml:space="preserve"> Egyptian consumers </w:t>
      </w:r>
      <w:r w:rsidR="00632113">
        <w:rPr>
          <w:lang w:bidi="ar-EG"/>
        </w:rPr>
        <w:t>to</w:t>
      </w:r>
      <w:r>
        <w:rPr>
          <w:lang w:bidi="ar-EG"/>
        </w:rPr>
        <w:t xml:space="preserve"> obtain</w:t>
      </w:r>
      <w:r w:rsidR="00632113">
        <w:rPr>
          <w:lang w:bidi="ar-EG"/>
        </w:rPr>
        <w:t xml:space="preserve"> high-quality products</w:t>
      </w:r>
      <w:r w:rsidR="00EF3528">
        <w:rPr>
          <w:lang w:bidi="ar-EG"/>
        </w:rPr>
        <w:t xml:space="preserve"> consistent with the state strategy of economic reform.</w:t>
      </w:r>
    </w:p>
    <w:p w:rsidR="00377879" w:rsidRDefault="009A128A" w:rsidP="00B17D19">
      <w:pPr>
        <w:pStyle w:val="ListParagraph"/>
        <w:numPr>
          <w:ilvl w:val="0"/>
          <w:numId w:val="7"/>
        </w:numPr>
        <w:jc w:val="both"/>
        <w:rPr>
          <w:lang w:bidi="ar-EG"/>
        </w:rPr>
      </w:pPr>
      <w:r>
        <w:rPr>
          <w:lang w:bidi="ar-EG"/>
        </w:rPr>
        <w:t xml:space="preserve">Not relying on </w:t>
      </w:r>
      <w:r w:rsidR="00796310">
        <w:rPr>
          <w:lang w:bidi="ar-EG"/>
        </w:rPr>
        <w:t>export helps maintain investments, create job opportunities, and raise the added value of national economy.</w:t>
      </w:r>
    </w:p>
    <w:p w:rsidR="00796310" w:rsidRDefault="00796310" w:rsidP="00B17D19">
      <w:pPr>
        <w:pStyle w:val="ListParagraph"/>
        <w:numPr>
          <w:ilvl w:val="0"/>
          <w:numId w:val="7"/>
        </w:numPr>
        <w:jc w:val="both"/>
        <w:rPr>
          <w:lang w:bidi="ar-EG"/>
        </w:rPr>
      </w:pPr>
      <w:r>
        <w:rPr>
          <w:lang w:bidi="ar-EG"/>
        </w:rPr>
        <w:t xml:space="preserve">Limiting and regulating the access of imports will help realize fair competition and will not lead to any monopolizing practices. </w:t>
      </w:r>
    </w:p>
    <w:p w:rsidR="00796310" w:rsidRDefault="00796310" w:rsidP="00632113">
      <w:pPr>
        <w:pStyle w:val="ListParagraph"/>
        <w:numPr>
          <w:ilvl w:val="0"/>
          <w:numId w:val="7"/>
        </w:numPr>
        <w:jc w:val="both"/>
        <w:rPr>
          <w:lang w:bidi="ar-EG"/>
        </w:rPr>
      </w:pPr>
      <w:r>
        <w:rPr>
          <w:lang w:bidi="ar-EG"/>
        </w:rPr>
        <w:t>Imposing</w:t>
      </w:r>
      <w:r w:rsidR="00632113">
        <w:rPr>
          <w:lang w:bidi="ar-EG"/>
        </w:rPr>
        <w:t xml:space="preserve"> such dutie</w:t>
      </w:r>
      <w:r>
        <w:rPr>
          <w:lang w:bidi="ar-EG"/>
        </w:rPr>
        <w:t>s on companies and factories that rely on the imported metal from abroad wil</w:t>
      </w:r>
      <w:r w:rsidR="00C167F3">
        <w:rPr>
          <w:lang w:bidi="ar-EG"/>
        </w:rPr>
        <w:t>l not ban them from importation</w:t>
      </w:r>
      <w:r>
        <w:rPr>
          <w:lang w:bidi="ar-EG"/>
        </w:rPr>
        <w:t xml:space="preserve"> especially that the pricing equation of aluminum products is subject to definite international standards based on</w:t>
      </w:r>
      <w:r w:rsidR="00632113">
        <w:rPr>
          <w:lang w:bidi="ar-EG"/>
        </w:rPr>
        <w:t xml:space="preserve"> the</w:t>
      </w:r>
      <w:r>
        <w:rPr>
          <w:lang w:bidi="ar-EG"/>
        </w:rPr>
        <w:t xml:space="preserve"> LME. </w:t>
      </w:r>
    </w:p>
    <w:p w:rsidR="00796310" w:rsidRDefault="00796310" w:rsidP="00B17D19">
      <w:pPr>
        <w:pStyle w:val="ListParagraph"/>
        <w:numPr>
          <w:ilvl w:val="0"/>
          <w:numId w:val="7"/>
        </w:numPr>
        <w:jc w:val="both"/>
        <w:rPr>
          <w:lang w:bidi="ar-EG"/>
        </w:rPr>
      </w:pPr>
      <w:r>
        <w:rPr>
          <w:lang w:bidi="ar-EG"/>
        </w:rPr>
        <w:t>In the light of the</w:t>
      </w:r>
      <w:r w:rsidR="00C167F3">
        <w:rPr>
          <w:lang w:bidi="ar-EG"/>
        </w:rPr>
        <w:t xml:space="preserve"> above, imposing safeguard dutie</w:t>
      </w:r>
      <w:r>
        <w:rPr>
          <w:lang w:bidi="ar-EG"/>
        </w:rPr>
        <w:t xml:space="preserve">s will secure moving ahead towards </w:t>
      </w:r>
      <w:proofErr w:type="spellStart"/>
      <w:r>
        <w:rPr>
          <w:lang w:bidi="ar-EG"/>
        </w:rPr>
        <w:t>real</w:t>
      </w:r>
      <w:r w:rsidR="00C167F3">
        <w:rPr>
          <w:lang w:bidi="ar-EG"/>
        </w:rPr>
        <w:t>i</w:t>
      </w:r>
      <w:r>
        <w:rPr>
          <w:lang w:bidi="ar-EG"/>
        </w:rPr>
        <w:t>sing</w:t>
      </w:r>
      <w:proofErr w:type="spellEnd"/>
      <w:r>
        <w:rPr>
          <w:lang w:bidi="ar-EG"/>
        </w:rPr>
        <w:t xml:space="preserve"> the aforementioned in consistency with common interest. </w:t>
      </w:r>
    </w:p>
    <w:p w:rsidR="00C167F3" w:rsidRPr="00C167F3" w:rsidRDefault="00C167F3" w:rsidP="00C167F3">
      <w:pPr>
        <w:jc w:val="both"/>
        <w:rPr>
          <w:b/>
          <w:bCs/>
          <w:lang w:bidi="ar-EG"/>
        </w:rPr>
      </w:pPr>
      <w:r w:rsidRPr="00C167F3">
        <w:rPr>
          <w:b/>
          <w:bCs/>
          <w:lang w:bidi="ar-EG"/>
        </w:rPr>
        <w:t>8 Finding</w:t>
      </w:r>
    </w:p>
    <w:p w:rsidR="00796310" w:rsidRDefault="002132C2" w:rsidP="002132C2">
      <w:pPr>
        <w:jc w:val="both"/>
        <w:rPr>
          <w:lang w:bidi="ar-EG"/>
        </w:rPr>
      </w:pPr>
      <w:r>
        <w:rPr>
          <w:lang w:bidi="ar-EG"/>
        </w:rPr>
        <w:t>9-1 H</w:t>
      </w:r>
      <w:r w:rsidR="00796310">
        <w:rPr>
          <w:lang w:bidi="ar-EG"/>
        </w:rPr>
        <w:t xml:space="preserve">aving studied the responses </w:t>
      </w:r>
      <w:r>
        <w:rPr>
          <w:lang w:bidi="ar-EG"/>
        </w:rPr>
        <w:t xml:space="preserve">to questionnaires </w:t>
      </w:r>
      <w:r w:rsidR="00796310">
        <w:rPr>
          <w:lang w:bidi="ar-EG"/>
        </w:rPr>
        <w:t>sent to the Investigating Authority and the comments by all the concerned parties among other parties who have interest in the hearing session and the information received from the local industry,</w:t>
      </w:r>
      <w:r>
        <w:rPr>
          <w:lang w:bidi="ar-EG"/>
        </w:rPr>
        <w:t xml:space="preserve"> </w:t>
      </w:r>
    </w:p>
    <w:p w:rsidR="00796310" w:rsidRPr="00034BAE" w:rsidRDefault="00796310" w:rsidP="002132C2">
      <w:pPr>
        <w:jc w:val="both"/>
        <w:rPr>
          <w:lang w:bidi="ar-EG"/>
        </w:rPr>
      </w:pPr>
      <w:r>
        <w:rPr>
          <w:lang w:bidi="ar-EG"/>
        </w:rPr>
        <w:t xml:space="preserve">9-2 </w:t>
      </w:r>
      <w:r w:rsidR="002132C2">
        <w:rPr>
          <w:lang w:bidi="ar-EG"/>
        </w:rPr>
        <w:t>T</w:t>
      </w:r>
      <w:r>
        <w:rPr>
          <w:lang w:bidi="ar-EG"/>
        </w:rPr>
        <w:t xml:space="preserve">he Investigating Authority has concluded that the substantial and acute increase of imports have directly caused substantial injury to the local industry.  </w:t>
      </w:r>
    </w:p>
    <w:p w:rsidR="001D18E7" w:rsidRPr="001D18E7" w:rsidRDefault="00F904FC" w:rsidP="00F904FC">
      <w:pPr>
        <w:tabs>
          <w:tab w:val="left" w:pos="3776"/>
        </w:tabs>
        <w:jc w:val="both"/>
        <w:rPr>
          <w:lang w:bidi="ar-EG"/>
        </w:rPr>
      </w:pPr>
      <w:r>
        <w:rPr>
          <w:lang w:bidi="ar-EG"/>
        </w:rPr>
        <w:tab/>
        <w:t xml:space="preserve"> </w:t>
      </w:r>
      <w:bookmarkStart w:id="0" w:name="_GoBack"/>
      <w:bookmarkEnd w:id="0"/>
    </w:p>
    <w:p w:rsidR="007E2E08" w:rsidRDefault="00B81E68" w:rsidP="00D041CC">
      <w:pPr>
        <w:jc w:val="both"/>
        <w:rPr>
          <w:lang w:bidi="ar-EG"/>
        </w:rPr>
      </w:pPr>
      <w:r>
        <w:rPr>
          <w:lang w:bidi="ar-EG"/>
        </w:rPr>
        <w:t xml:space="preserve">     </w:t>
      </w:r>
      <w:r w:rsidR="00453FDB">
        <w:rPr>
          <w:lang w:bidi="ar-EG"/>
        </w:rPr>
        <w:t xml:space="preserve"> </w:t>
      </w:r>
    </w:p>
    <w:p w:rsidR="00055DF0" w:rsidRPr="00B2271E" w:rsidRDefault="00055DF0" w:rsidP="00055DF0">
      <w:pPr>
        <w:jc w:val="both"/>
        <w:rPr>
          <w:lang w:bidi="ar-EG"/>
        </w:rPr>
      </w:pPr>
    </w:p>
    <w:p w:rsidR="001A732F" w:rsidRDefault="001A732F" w:rsidP="001A732F">
      <w:pPr>
        <w:jc w:val="both"/>
      </w:pPr>
    </w:p>
    <w:p w:rsidR="001E42A1" w:rsidRPr="000F6613" w:rsidRDefault="001E42A1" w:rsidP="001E42A1">
      <w:pPr>
        <w:jc w:val="both"/>
        <w:rPr>
          <w:rtl/>
        </w:rPr>
      </w:pPr>
    </w:p>
    <w:sectPr w:rsidR="001E42A1" w:rsidRPr="000F66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02" w:rsidRDefault="00352402" w:rsidP="00951C78">
      <w:pPr>
        <w:spacing w:after="0" w:line="240" w:lineRule="auto"/>
      </w:pPr>
      <w:r>
        <w:separator/>
      </w:r>
    </w:p>
  </w:endnote>
  <w:endnote w:type="continuationSeparator" w:id="0">
    <w:p w:rsidR="00352402" w:rsidRDefault="00352402" w:rsidP="0095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Device Font 10cpi"/>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02" w:rsidRDefault="00352402" w:rsidP="00951C78">
      <w:pPr>
        <w:spacing w:after="0" w:line="240" w:lineRule="auto"/>
      </w:pPr>
      <w:r>
        <w:separator/>
      </w:r>
    </w:p>
  </w:footnote>
  <w:footnote w:type="continuationSeparator" w:id="0">
    <w:p w:rsidR="00352402" w:rsidRDefault="00352402" w:rsidP="00951C78">
      <w:pPr>
        <w:spacing w:after="0" w:line="240" w:lineRule="auto"/>
      </w:pPr>
      <w:r>
        <w:continuationSeparator/>
      </w:r>
    </w:p>
  </w:footnote>
  <w:footnote w:id="1">
    <w:p w:rsidR="00352402" w:rsidRDefault="00352402" w:rsidP="00641F89">
      <w:pPr>
        <w:pStyle w:val="FootnoteText"/>
      </w:pPr>
      <w:r>
        <w:rPr>
          <w:rStyle w:val="FootnoteReference"/>
        </w:rPr>
        <w:footnoteRef/>
      </w:r>
      <w:r>
        <w:t xml:space="preserve"> Article 14 of the regulations stipulates that: it is conditional that the complaint is presented by the local industry, the representatives thereof, </w:t>
      </w:r>
      <w:proofErr w:type="gramStart"/>
      <w:r>
        <w:t>a</w:t>
      </w:r>
      <w:proofErr w:type="gramEnd"/>
      <w:r>
        <w:t xml:space="preserve"> delegate thereby, the concerned industrial chamber, industry federation, producers union, or the ministries supervising any of the production sectors.</w:t>
      </w:r>
    </w:p>
    <w:p w:rsidR="00352402" w:rsidRPr="00641F89" w:rsidRDefault="00352402" w:rsidP="00E92B1F">
      <w:pPr>
        <w:pStyle w:val="FootnoteText"/>
        <w:rPr>
          <w:lang w:bidi="ar-EG"/>
        </w:rPr>
      </w:pPr>
      <w:r>
        <w:t xml:space="preserve">It shall be incumbent that the complaint includes the </w:t>
      </w:r>
      <w:r>
        <w:rPr>
          <w:lang w:bidi="ar-EG"/>
        </w:rPr>
        <w:t xml:space="preserve">indications </w:t>
      </w:r>
      <w:r w:rsidR="00EF1B99">
        <w:rPr>
          <w:lang w:bidi="ar-EG"/>
        </w:rPr>
        <w:t>or evidences on dumping, subsidy,</w:t>
      </w:r>
      <w:r>
        <w:rPr>
          <w:lang w:bidi="ar-EG"/>
        </w:rPr>
        <w:t xml:space="preserve"> or unjustified increase of imports, the consequent injury of such practice, and the causal link between each and the injuries to the complainant entity. </w:t>
      </w:r>
    </w:p>
  </w:footnote>
  <w:footnote w:id="2">
    <w:p w:rsidR="00352402" w:rsidRDefault="00352402" w:rsidP="00A51782">
      <w:pPr>
        <w:pStyle w:val="FootnoteText"/>
        <w:jc w:val="both"/>
      </w:pPr>
      <w:r>
        <w:rPr>
          <w:rStyle w:val="FootnoteReference"/>
        </w:rPr>
        <w:footnoteRef/>
      </w:r>
      <w:r>
        <w:t xml:space="preserve"> Article 22 of the regulations sets out that “announcement of the start of in</w:t>
      </w:r>
      <w:r w:rsidR="00A51782">
        <w:t>vestigation procedures shall be by</w:t>
      </w:r>
      <w:r>
        <w:t xml:space="preserve"> publishing in the Official Gazette…”  </w:t>
      </w:r>
    </w:p>
  </w:footnote>
  <w:footnote w:id="3">
    <w:p w:rsidR="00352402" w:rsidRDefault="00352402" w:rsidP="00397CE7">
      <w:pPr>
        <w:pStyle w:val="FootnoteText"/>
        <w:jc w:val="both"/>
      </w:pPr>
      <w:r>
        <w:rPr>
          <w:rStyle w:val="FootnoteReference"/>
        </w:rPr>
        <w:footnoteRef/>
      </w:r>
      <w:r>
        <w:t xml:space="preserve"> Article 90 of the regulations sets out that “the Investigating Authority shall notify the WTO concerned committees about the notices prescribed in the said agreements.”</w:t>
      </w:r>
    </w:p>
  </w:footnote>
  <w:footnote w:id="4">
    <w:p w:rsidR="00352402" w:rsidRDefault="00352402" w:rsidP="002C3F20">
      <w:pPr>
        <w:pStyle w:val="FootnoteText"/>
        <w:jc w:val="both"/>
      </w:pPr>
      <w:r>
        <w:rPr>
          <w:rStyle w:val="FootnoteReference"/>
        </w:rPr>
        <w:footnoteRef/>
      </w:r>
      <w:r>
        <w:t xml:space="preserve"> Article (12-1) of the agreement sets out that “a safeguard committee member shall be notified immediately when:</w:t>
      </w:r>
    </w:p>
    <w:p w:rsidR="00352402" w:rsidRDefault="00352402" w:rsidP="00EB313E">
      <w:pPr>
        <w:pStyle w:val="FootnoteText"/>
        <w:numPr>
          <w:ilvl w:val="0"/>
          <w:numId w:val="5"/>
        </w:numPr>
      </w:pPr>
      <w:r>
        <w:t>An investigation process relevant to substantial injury or a threat of substantial injury starts and the reasons thereof.</w:t>
      </w:r>
    </w:p>
    <w:p w:rsidR="00352402" w:rsidRDefault="00352402" w:rsidP="00EB313E">
      <w:pPr>
        <w:pStyle w:val="FootnoteText"/>
        <w:numPr>
          <w:ilvl w:val="0"/>
          <w:numId w:val="5"/>
        </w:numPr>
      </w:pPr>
      <w:r>
        <w:t>It is decided that there is substantial injury or there is threat of having substantial injury due to increased imports.</w:t>
      </w:r>
    </w:p>
    <w:p w:rsidR="00352402" w:rsidRDefault="00352402" w:rsidP="00E711E2">
      <w:pPr>
        <w:pStyle w:val="FootnoteText"/>
        <w:numPr>
          <w:ilvl w:val="0"/>
          <w:numId w:val="5"/>
        </w:numPr>
        <w:jc w:val="both"/>
      </w:pPr>
      <w:r>
        <w:t xml:space="preserve">It is decided that a safeguard measure shall be applied or extended.   </w:t>
      </w:r>
    </w:p>
  </w:footnote>
  <w:footnote w:id="5">
    <w:p w:rsidR="00352402" w:rsidRDefault="00352402" w:rsidP="00E711E2">
      <w:pPr>
        <w:pStyle w:val="FootnoteText"/>
        <w:jc w:val="both"/>
      </w:pPr>
      <w:r>
        <w:rPr>
          <w:rStyle w:val="FootnoteReference"/>
        </w:rPr>
        <w:footnoteRef/>
      </w:r>
      <w:r>
        <w:t xml:space="preserve"> Article (23) stipulates that “the Investigating Authority shall notify all the known concerned parties and representatives of the exporting countries of a copy of the non-confidential complaint, the announcement of starting investigations, and templates of the necessary questions to obtain the necessary data for investigation; the concerned parties shall adhere to responding within a duration not exceeding 37 days from the date of reception. Such duration may be extended upon a justified request endorsed by the Investigating Authority.</w:t>
      </w:r>
    </w:p>
  </w:footnote>
  <w:footnote w:id="6">
    <w:p w:rsidR="00352402" w:rsidRDefault="00352402" w:rsidP="00621775">
      <w:pPr>
        <w:pStyle w:val="FootnoteText"/>
        <w:jc w:val="both"/>
      </w:pPr>
      <w:r>
        <w:rPr>
          <w:rStyle w:val="FootnoteReference"/>
        </w:rPr>
        <w:footnoteRef/>
      </w:r>
      <w:r>
        <w:t xml:space="preserve"> Article (25) of the regulations sets out that “it shall be incumbent on the Investigating Authority to give a fair opportunity to all the concerned parties among other parties who have interests to defend the interests thereof within the determined period of investigation and shall to this end convene hearing sessions to present the opinions and cases thereof,…”  </w:t>
      </w:r>
    </w:p>
  </w:footnote>
  <w:footnote w:id="7">
    <w:p w:rsidR="00352402" w:rsidRDefault="00352402" w:rsidP="000D470B">
      <w:pPr>
        <w:pStyle w:val="FootnoteText"/>
        <w:jc w:val="both"/>
      </w:pPr>
      <w:r>
        <w:rPr>
          <w:rStyle w:val="FootnoteReference"/>
        </w:rPr>
        <w:footnoteRef/>
      </w:r>
      <w:r>
        <w:t xml:space="preserve"> Article 19 of the regulations sets out that in order to start investigations, it is conditional that the complaint is supported by local producers whose total production exceeds 50% of the total production of the similar product of supporters and opponents of the complaint. Investigations may not start unless the complaint is supported by local producers whose total production reaches at least 25% of the total local industry’s production of the similar product.  </w:t>
      </w:r>
    </w:p>
  </w:footnote>
  <w:footnote w:id="8">
    <w:p w:rsidR="00352402" w:rsidRDefault="00352402" w:rsidP="00CD0A1D">
      <w:pPr>
        <w:pStyle w:val="FootnoteText"/>
        <w:jc w:val="both"/>
      </w:pPr>
      <w:r>
        <w:rPr>
          <w:rStyle w:val="FootnoteReference"/>
        </w:rPr>
        <w:footnoteRef/>
      </w:r>
      <w:r>
        <w:t xml:space="preserve"> Item (C) of the first paragraph of article 4 of the Safeguard Agreement sets out that (at determining the injury or the threat of injury, the phrase ‘local industry’ indicates producers of similar/competitive products directly who work on the territories of a certain member at large, or those whose collective production of similar/competitive products represents a big share of the total local production of such products).  </w:t>
      </w:r>
    </w:p>
  </w:footnote>
  <w:footnote w:id="9">
    <w:p w:rsidR="00352402" w:rsidRDefault="00352402" w:rsidP="00DF731F">
      <w:pPr>
        <w:pStyle w:val="FootnoteText"/>
        <w:jc w:val="both"/>
      </w:pPr>
      <w:r>
        <w:rPr>
          <w:rStyle w:val="FootnoteReference"/>
        </w:rPr>
        <w:footnoteRef/>
      </w:r>
      <w:r>
        <w:t xml:space="preserve"> Paragraph 1 of article 81 sets out that the Investigating Authority shall determine the substantial injury to local industry based on objective indications and evidences and a causal link between the increase of imports and the substantial injury or the threat of substantial injury. To that end, the Authority may </w:t>
      </w:r>
      <w:proofErr w:type="gramStart"/>
      <w:r>
        <w:t>verify:</w:t>
      </w:r>
      <w:proofErr w:type="gramEnd"/>
      <w:r>
        <w:t xml:space="preserve"> 1- the existence of increase in imports of the product subject to investigations be</w:t>
      </w:r>
      <w:r w:rsidR="006661A5">
        <w:t xml:space="preserve"> that absolutely or in relation</w:t>
      </w:r>
      <w:r>
        <w:t xml:space="preserve"> to production in Egypt. </w:t>
      </w:r>
    </w:p>
  </w:footnote>
  <w:footnote w:id="10">
    <w:p w:rsidR="00352402" w:rsidRDefault="00352402" w:rsidP="00745168">
      <w:pPr>
        <w:pStyle w:val="FootnoteText"/>
        <w:jc w:val="both"/>
      </w:pPr>
      <w:r>
        <w:rPr>
          <w:rStyle w:val="FootnoteReference"/>
        </w:rPr>
        <w:footnoteRef/>
      </w:r>
      <w:r>
        <w:t xml:space="preserve"> Article 80 sets out that ‘substantial injury shall mean the injury that causes considerable inclusive weakness of local industry </w:t>
      </w:r>
      <w:proofErr w:type="spellStart"/>
      <w:r>
        <w:t>centres</w:t>
      </w:r>
      <w:proofErr w:type="spellEnd"/>
      <w:r>
        <w:t>…</w:t>
      </w:r>
    </w:p>
  </w:footnote>
  <w:footnote w:id="11">
    <w:p w:rsidR="00352402" w:rsidRDefault="00352402" w:rsidP="00745168">
      <w:pPr>
        <w:pStyle w:val="FootnoteText"/>
        <w:jc w:val="both"/>
      </w:pPr>
      <w:r>
        <w:rPr>
          <w:rStyle w:val="FootnoteReference"/>
        </w:rPr>
        <w:footnoteRef/>
      </w:r>
      <w:r>
        <w:t xml:space="preserve"> Article 81 sets out that the Investigating Authority shall determine the substantial injury to the local industry based on objective indications and evidences and the existence of a causal link between the increase of imports and the substantial injury or the threat of a substantial injury and to this end, the Authority may verify the following: </w:t>
      </w:r>
    </w:p>
    <w:p w:rsidR="00352402" w:rsidRDefault="00352402" w:rsidP="00AF35A6">
      <w:pPr>
        <w:pStyle w:val="FootnoteText"/>
        <w:jc w:val="both"/>
      </w:pPr>
      <w:r>
        <w:t xml:space="preserve">2- The impact of the increased imports on the status of the local industry including the level of sales, production, productivity, the capacity </w:t>
      </w:r>
      <w:proofErr w:type="spellStart"/>
      <w:r>
        <w:t>utilisation</w:t>
      </w:r>
      <w:proofErr w:type="spellEnd"/>
      <w:r>
        <w:t xml:space="preserve">, profits, losses, </w:t>
      </w:r>
      <w:proofErr w:type="spellStart"/>
      <w:r>
        <w:t>labour</w:t>
      </w:r>
      <w:proofErr w:type="spellEnd"/>
      <w:r>
        <w:t xml:space="preserve">, and market share. </w:t>
      </w:r>
    </w:p>
  </w:footnote>
  <w:footnote w:id="12">
    <w:p w:rsidR="00352402" w:rsidRPr="00D16D92" w:rsidRDefault="00352402" w:rsidP="004716FC">
      <w:pPr>
        <w:pStyle w:val="FootnoteText"/>
        <w:jc w:val="both"/>
        <w:rPr>
          <w:lang w:bidi="ar-EG"/>
        </w:rPr>
      </w:pPr>
      <w:r>
        <w:rPr>
          <w:rStyle w:val="FootnoteReference"/>
        </w:rPr>
        <w:footnoteRef/>
      </w:r>
      <w:r>
        <w:t xml:space="preserve"> Article (4-2), paragraph B prescribes that “</w:t>
      </w:r>
      <w:r>
        <w:rPr>
          <w:lang w:bidi="ar-EG"/>
        </w:rPr>
        <w:t xml:space="preserve">the said determination in the subparagraph shall not take place unless the investigation proves, based on objective evidences, the presence of a causal link between the increase of imports of the concerned product and substantial injury or the threat of a substantial injury. In case other factors than the increase of imports lead to injuring the local industry at the same time, the subsequent injury shall not be ascribed to the increased imports.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1EF"/>
    <w:multiLevelType w:val="multilevel"/>
    <w:tmpl w:val="AF82B2C8"/>
    <w:lvl w:ilvl="0">
      <w:start w:val="1"/>
      <w:numFmt w:val="decimal"/>
      <w:lvlText w:val="%1"/>
      <w:lvlJc w:val="left"/>
      <w:pPr>
        <w:ind w:left="516" w:hanging="516"/>
      </w:pPr>
      <w:rPr>
        <w:rFonts w:hint="default"/>
      </w:rPr>
    </w:lvl>
    <w:lvl w:ilvl="1">
      <w:start w:val="1"/>
      <w:numFmt w:val="decimal"/>
      <w:lvlText w:val="%1-%2"/>
      <w:lvlJc w:val="left"/>
      <w:pPr>
        <w:ind w:left="696" w:hanging="51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65F7340"/>
    <w:multiLevelType w:val="hybridMultilevel"/>
    <w:tmpl w:val="9198EFF2"/>
    <w:lvl w:ilvl="0" w:tplc="F21A7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B1794"/>
    <w:multiLevelType w:val="hybridMultilevel"/>
    <w:tmpl w:val="798EBC0C"/>
    <w:lvl w:ilvl="0" w:tplc="246C8C8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1469F"/>
    <w:multiLevelType w:val="hybridMultilevel"/>
    <w:tmpl w:val="43766ED0"/>
    <w:lvl w:ilvl="0" w:tplc="AB04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A5911"/>
    <w:multiLevelType w:val="multilevel"/>
    <w:tmpl w:val="5F440C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72C3288"/>
    <w:multiLevelType w:val="hybridMultilevel"/>
    <w:tmpl w:val="EFBE10D8"/>
    <w:lvl w:ilvl="0" w:tplc="769EE5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A5DA9"/>
    <w:multiLevelType w:val="hybridMultilevel"/>
    <w:tmpl w:val="96BC5398"/>
    <w:lvl w:ilvl="0" w:tplc="8DA8F3E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67921"/>
    <w:multiLevelType w:val="multilevel"/>
    <w:tmpl w:val="6E064622"/>
    <w:lvl w:ilvl="0">
      <w:start w:val="1"/>
      <w:numFmt w:val="decimal"/>
      <w:lvlText w:val="%1"/>
      <w:lvlJc w:val="left"/>
      <w:pPr>
        <w:ind w:left="552" w:hanging="552"/>
      </w:pPr>
      <w:rPr>
        <w:rFonts w:hint="default"/>
      </w:rPr>
    </w:lvl>
    <w:lvl w:ilvl="1">
      <w:start w:val="1"/>
      <w:numFmt w:val="decimal"/>
      <w:lvlText w:val="%1-%2"/>
      <w:lvlJc w:val="left"/>
      <w:pPr>
        <w:ind w:left="732" w:hanging="55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0"/>
  </w:num>
  <w:num w:numId="3">
    <w:abstractNumId w:val="4"/>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907B2"/>
    <w:rsid w:val="00000FED"/>
    <w:rsid w:val="000043CA"/>
    <w:rsid w:val="000046E5"/>
    <w:rsid w:val="000075CA"/>
    <w:rsid w:val="000170D1"/>
    <w:rsid w:val="00032A1A"/>
    <w:rsid w:val="00034BAE"/>
    <w:rsid w:val="000374C9"/>
    <w:rsid w:val="0004286E"/>
    <w:rsid w:val="00042D57"/>
    <w:rsid w:val="0004590B"/>
    <w:rsid w:val="00052671"/>
    <w:rsid w:val="00053ACC"/>
    <w:rsid w:val="000541A9"/>
    <w:rsid w:val="00055DF0"/>
    <w:rsid w:val="00057075"/>
    <w:rsid w:val="000609CC"/>
    <w:rsid w:val="00061EAD"/>
    <w:rsid w:val="000732BE"/>
    <w:rsid w:val="000823DF"/>
    <w:rsid w:val="00083888"/>
    <w:rsid w:val="000907B2"/>
    <w:rsid w:val="00091A8F"/>
    <w:rsid w:val="000C21FE"/>
    <w:rsid w:val="000C3768"/>
    <w:rsid w:val="000C6910"/>
    <w:rsid w:val="000D21A2"/>
    <w:rsid w:val="000D470B"/>
    <w:rsid w:val="000D53F8"/>
    <w:rsid w:val="000E2ABF"/>
    <w:rsid w:val="000E3C0E"/>
    <w:rsid w:val="000E4952"/>
    <w:rsid w:val="000F6613"/>
    <w:rsid w:val="000F6B37"/>
    <w:rsid w:val="00132C72"/>
    <w:rsid w:val="00167F22"/>
    <w:rsid w:val="00191E54"/>
    <w:rsid w:val="001947D1"/>
    <w:rsid w:val="001A732F"/>
    <w:rsid w:val="001C24D2"/>
    <w:rsid w:val="001C730E"/>
    <w:rsid w:val="001D18E7"/>
    <w:rsid w:val="001D229C"/>
    <w:rsid w:val="001E42A1"/>
    <w:rsid w:val="002111EC"/>
    <w:rsid w:val="002132C2"/>
    <w:rsid w:val="00230BEF"/>
    <w:rsid w:val="00242BF7"/>
    <w:rsid w:val="0025038F"/>
    <w:rsid w:val="0025404B"/>
    <w:rsid w:val="0027022E"/>
    <w:rsid w:val="0027696C"/>
    <w:rsid w:val="00281084"/>
    <w:rsid w:val="00291F20"/>
    <w:rsid w:val="002A4F55"/>
    <w:rsid w:val="002A6B97"/>
    <w:rsid w:val="002B54F1"/>
    <w:rsid w:val="002B6221"/>
    <w:rsid w:val="002C1C76"/>
    <w:rsid w:val="002C3F20"/>
    <w:rsid w:val="002C56DF"/>
    <w:rsid w:val="002D0C97"/>
    <w:rsid w:val="002D14F8"/>
    <w:rsid w:val="002D2C8D"/>
    <w:rsid w:val="002D4F1A"/>
    <w:rsid w:val="002D5235"/>
    <w:rsid w:val="002E7576"/>
    <w:rsid w:val="002F6816"/>
    <w:rsid w:val="0030144F"/>
    <w:rsid w:val="003037E6"/>
    <w:rsid w:val="00307518"/>
    <w:rsid w:val="00312150"/>
    <w:rsid w:val="00317F70"/>
    <w:rsid w:val="003228F5"/>
    <w:rsid w:val="0033143D"/>
    <w:rsid w:val="0033149E"/>
    <w:rsid w:val="00346844"/>
    <w:rsid w:val="00352402"/>
    <w:rsid w:val="003622BE"/>
    <w:rsid w:val="003641CA"/>
    <w:rsid w:val="00372E34"/>
    <w:rsid w:val="00373CE9"/>
    <w:rsid w:val="00377879"/>
    <w:rsid w:val="00381F3A"/>
    <w:rsid w:val="003824D0"/>
    <w:rsid w:val="00383FB2"/>
    <w:rsid w:val="00390DB9"/>
    <w:rsid w:val="00391E89"/>
    <w:rsid w:val="00395915"/>
    <w:rsid w:val="00395C98"/>
    <w:rsid w:val="00397CE7"/>
    <w:rsid w:val="003B0749"/>
    <w:rsid w:val="003C5CA6"/>
    <w:rsid w:val="003E5004"/>
    <w:rsid w:val="003F30F2"/>
    <w:rsid w:val="003F4BFD"/>
    <w:rsid w:val="003F550A"/>
    <w:rsid w:val="004003B2"/>
    <w:rsid w:val="0040148B"/>
    <w:rsid w:val="0040470B"/>
    <w:rsid w:val="00406322"/>
    <w:rsid w:val="004135A7"/>
    <w:rsid w:val="0041387E"/>
    <w:rsid w:val="00444DE3"/>
    <w:rsid w:val="00450799"/>
    <w:rsid w:val="00453FDB"/>
    <w:rsid w:val="00456DDB"/>
    <w:rsid w:val="00462C01"/>
    <w:rsid w:val="00463312"/>
    <w:rsid w:val="004711DD"/>
    <w:rsid w:val="004716FC"/>
    <w:rsid w:val="0048087A"/>
    <w:rsid w:val="004930C0"/>
    <w:rsid w:val="004934CA"/>
    <w:rsid w:val="004A31AF"/>
    <w:rsid w:val="004B2D04"/>
    <w:rsid w:val="004B44AA"/>
    <w:rsid w:val="004D63BE"/>
    <w:rsid w:val="004E22E1"/>
    <w:rsid w:val="004E236D"/>
    <w:rsid w:val="004E39AE"/>
    <w:rsid w:val="004E6588"/>
    <w:rsid w:val="004F42C6"/>
    <w:rsid w:val="00510D4B"/>
    <w:rsid w:val="00511796"/>
    <w:rsid w:val="00521123"/>
    <w:rsid w:val="00523691"/>
    <w:rsid w:val="00532651"/>
    <w:rsid w:val="0053770F"/>
    <w:rsid w:val="00537FD8"/>
    <w:rsid w:val="0054070A"/>
    <w:rsid w:val="00546285"/>
    <w:rsid w:val="00552598"/>
    <w:rsid w:val="0056564D"/>
    <w:rsid w:val="00567E58"/>
    <w:rsid w:val="00570B7F"/>
    <w:rsid w:val="00571147"/>
    <w:rsid w:val="00575EE0"/>
    <w:rsid w:val="00587072"/>
    <w:rsid w:val="00593640"/>
    <w:rsid w:val="005A4142"/>
    <w:rsid w:val="005A4E34"/>
    <w:rsid w:val="005A5F3A"/>
    <w:rsid w:val="005C3D00"/>
    <w:rsid w:val="005E627C"/>
    <w:rsid w:val="005E7DB0"/>
    <w:rsid w:val="0060004E"/>
    <w:rsid w:val="00621775"/>
    <w:rsid w:val="006265C3"/>
    <w:rsid w:val="00632113"/>
    <w:rsid w:val="0064194E"/>
    <w:rsid w:val="00641F89"/>
    <w:rsid w:val="00653265"/>
    <w:rsid w:val="006537BF"/>
    <w:rsid w:val="0065574D"/>
    <w:rsid w:val="00663F87"/>
    <w:rsid w:val="006661A5"/>
    <w:rsid w:val="00672941"/>
    <w:rsid w:val="00675997"/>
    <w:rsid w:val="00681371"/>
    <w:rsid w:val="00682F9A"/>
    <w:rsid w:val="00696376"/>
    <w:rsid w:val="006A295C"/>
    <w:rsid w:val="006A419B"/>
    <w:rsid w:val="006B49C9"/>
    <w:rsid w:val="006C5763"/>
    <w:rsid w:val="007023CD"/>
    <w:rsid w:val="0070550C"/>
    <w:rsid w:val="007167A4"/>
    <w:rsid w:val="00722D6A"/>
    <w:rsid w:val="00723D3B"/>
    <w:rsid w:val="0072638B"/>
    <w:rsid w:val="007375DB"/>
    <w:rsid w:val="00745168"/>
    <w:rsid w:val="00750081"/>
    <w:rsid w:val="0075363E"/>
    <w:rsid w:val="00756037"/>
    <w:rsid w:val="00766415"/>
    <w:rsid w:val="00772D51"/>
    <w:rsid w:val="007762B6"/>
    <w:rsid w:val="00784862"/>
    <w:rsid w:val="007918AD"/>
    <w:rsid w:val="00794EF9"/>
    <w:rsid w:val="00796310"/>
    <w:rsid w:val="00796D65"/>
    <w:rsid w:val="00797A2C"/>
    <w:rsid w:val="007A63FD"/>
    <w:rsid w:val="007A6E87"/>
    <w:rsid w:val="007B5863"/>
    <w:rsid w:val="007C203A"/>
    <w:rsid w:val="007C6FE4"/>
    <w:rsid w:val="007C759F"/>
    <w:rsid w:val="007D2557"/>
    <w:rsid w:val="007D3E22"/>
    <w:rsid w:val="007D5680"/>
    <w:rsid w:val="007E1F93"/>
    <w:rsid w:val="007E2E08"/>
    <w:rsid w:val="007E7589"/>
    <w:rsid w:val="008052C5"/>
    <w:rsid w:val="00811B46"/>
    <w:rsid w:val="00812798"/>
    <w:rsid w:val="008323D9"/>
    <w:rsid w:val="008373FF"/>
    <w:rsid w:val="00875969"/>
    <w:rsid w:val="0089418D"/>
    <w:rsid w:val="00895618"/>
    <w:rsid w:val="008956E0"/>
    <w:rsid w:val="00896B2B"/>
    <w:rsid w:val="00896F5C"/>
    <w:rsid w:val="008A4506"/>
    <w:rsid w:val="008B50B1"/>
    <w:rsid w:val="008B5AC2"/>
    <w:rsid w:val="008C6312"/>
    <w:rsid w:val="008D3900"/>
    <w:rsid w:val="008D530C"/>
    <w:rsid w:val="008D68E5"/>
    <w:rsid w:val="008D6A4A"/>
    <w:rsid w:val="00910ACB"/>
    <w:rsid w:val="00917478"/>
    <w:rsid w:val="0092142A"/>
    <w:rsid w:val="00921D2D"/>
    <w:rsid w:val="0094741F"/>
    <w:rsid w:val="00951C78"/>
    <w:rsid w:val="00957D87"/>
    <w:rsid w:val="00971981"/>
    <w:rsid w:val="00972D43"/>
    <w:rsid w:val="00980B4A"/>
    <w:rsid w:val="009A128A"/>
    <w:rsid w:val="009B3150"/>
    <w:rsid w:val="009B67EE"/>
    <w:rsid w:val="009E24DB"/>
    <w:rsid w:val="009F7FA8"/>
    <w:rsid w:val="009F7FC7"/>
    <w:rsid w:val="00A02996"/>
    <w:rsid w:val="00A0632E"/>
    <w:rsid w:val="00A1066D"/>
    <w:rsid w:val="00A42133"/>
    <w:rsid w:val="00A51782"/>
    <w:rsid w:val="00A60554"/>
    <w:rsid w:val="00A76269"/>
    <w:rsid w:val="00A763C8"/>
    <w:rsid w:val="00A852C3"/>
    <w:rsid w:val="00A87D2F"/>
    <w:rsid w:val="00A9609F"/>
    <w:rsid w:val="00AA1B98"/>
    <w:rsid w:val="00AA39AC"/>
    <w:rsid w:val="00AA5CF8"/>
    <w:rsid w:val="00AB3A53"/>
    <w:rsid w:val="00AB5CBC"/>
    <w:rsid w:val="00AD4E74"/>
    <w:rsid w:val="00AD74D5"/>
    <w:rsid w:val="00AF35A6"/>
    <w:rsid w:val="00B0086A"/>
    <w:rsid w:val="00B10842"/>
    <w:rsid w:val="00B1304C"/>
    <w:rsid w:val="00B17D19"/>
    <w:rsid w:val="00B2271E"/>
    <w:rsid w:val="00B26A21"/>
    <w:rsid w:val="00B47672"/>
    <w:rsid w:val="00B55FC3"/>
    <w:rsid w:val="00B6702E"/>
    <w:rsid w:val="00B7408C"/>
    <w:rsid w:val="00B81E68"/>
    <w:rsid w:val="00B82704"/>
    <w:rsid w:val="00B92B85"/>
    <w:rsid w:val="00BA1D9A"/>
    <w:rsid w:val="00BC3FB4"/>
    <w:rsid w:val="00BE439C"/>
    <w:rsid w:val="00BF2567"/>
    <w:rsid w:val="00C033C1"/>
    <w:rsid w:val="00C0794F"/>
    <w:rsid w:val="00C102D8"/>
    <w:rsid w:val="00C150E9"/>
    <w:rsid w:val="00C167F3"/>
    <w:rsid w:val="00C16BA4"/>
    <w:rsid w:val="00C2010E"/>
    <w:rsid w:val="00C223BE"/>
    <w:rsid w:val="00C410BE"/>
    <w:rsid w:val="00C42581"/>
    <w:rsid w:val="00C44912"/>
    <w:rsid w:val="00C452DA"/>
    <w:rsid w:val="00C524D3"/>
    <w:rsid w:val="00C54704"/>
    <w:rsid w:val="00C60DF1"/>
    <w:rsid w:val="00C72EC1"/>
    <w:rsid w:val="00C86D3E"/>
    <w:rsid w:val="00CB72B4"/>
    <w:rsid w:val="00CC58AB"/>
    <w:rsid w:val="00CC6F7C"/>
    <w:rsid w:val="00CC70D2"/>
    <w:rsid w:val="00CC7E6E"/>
    <w:rsid w:val="00CD0A1D"/>
    <w:rsid w:val="00CD4CA9"/>
    <w:rsid w:val="00CF5701"/>
    <w:rsid w:val="00CF6170"/>
    <w:rsid w:val="00D041CC"/>
    <w:rsid w:val="00D139FE"/>
    <w:rsid w:val="00D16D92"/>
    <w:rsid w:val="00D31A36"/>
    <w:rsid w:val="00D32F72"/>
    <w:rsid w:val="00D46975"/>
    <w:rsid w:val="00D7015D"/>
    <w:rsid w:val="00D7037B"/>
    <w:rsid w:val="00D777DF"/>
    <w:rsid w:val="00D808ED"/>
    <w:rsid w:val="00D8187B"/>
    <w:rsid w:val="00D82FC0"/>
    <w:rsid w:val="00D935E0"/>
    <w:rsid w:val="00DB4080"/>
    <w:rsid w:val="00DB7A99"/>
    <w:rsid w:val="00DC48E2"/>
    <w:rsid w:val="00DE16D1"/>
    <w:rsid w:val="00DE4EEE"/>
    <w:rsid w:val="00DF64B8"/>
    <w:rsid w:val="00DF731F"/>
    <w:rsid w:val="00E00AD9"/>
    <w:rsid w:val="00E0299A"/>
    <w:rsid w:val="00E3043C"/>
    <w:rsid w:val="00E43293"/>
    <w:rsid w:val="00E451A8"/>
    <w:rsid w:val="00E711E2"/>
    <w:rsid w:val="00E9190E"/>
    <w:rsid w:val="00E92B1F"/>
    <w:rsid w:val="00EA41C3"/>
    <w:rsid w:val="00EA5F84"/>
    <w:rsid w:val="00EB313E"/>
    <w:rsid w:val="00EB46AD"/>
    <w:rsid w:val="00EE0881"/>
    <w:rsid w:val="00EE430B"/>
    <w:rsid w:val="00EF1B99"/>
    <w:rsid w:val="00EF3528"/>
    <w:rsid w:val="00F045C0"/>
    <w:rsid w:val="00F04778"/>
    <w:rsid w:val="00F27354"/>
    <w:rsid w:val="00F84871"/>
    <w:rsid w:val="00F904FC"/>
    <w:rsid w:val="00FB01AC"/>
    <w:rsid w:val="00FB5425"/>
    <w:rsid w:val="00FB5F61"/>
    <w:rsid w:val="00FD0236"/>
    <w:rsid w:val="00FE1AFA"/>
    <w:rsid w:val="00FE7988"/>
    <w:rsid w:val="00FF2C86"/>
    <w:rsid w:val="00FF4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8ED6"/>
  <w15:docId w15:val="{968A8F70-9A09-439B-A3C8-8CD5A802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1AF"/>
    <w:pPr>
      <w:ind w:left="720"/>
      <w:contextualSpacing/>
    </w:pPr>
  </w:style>
  <w:style w:type="paragraph" w:styleId="FootnoteText">
    <w:name w:val="footnote text"/>
    <w:basedOn w:val="Normal"/>
    <w:link w:val="FootnoteTextChar"/>
    <w:uiPriority w:val="99"/>
    <w:semiHidden/>
    <w:unhideWhenUsed/>
    <w:rsid w:val="00951C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C78"/>
    <w:rPr>
      <w:sz w:val="20"/>
      <w:szCs w:val="20"/>
    </w:rPr>
  </w:style>
  <w:style w:type="character" w:styleId="FootnoteReference">
    <w:name w:val="footnote reference"/>
    <w:basedOn w:val="DefaultParagraphFont"/>
    <w:uiPriority w:val="99"/>
    <w:semiHidden/>
    <w:unhideWhenUsed/>
    <w:rsid w:val="00951C78"/>
    <w:rPr>
      <w:vertAlign w:val="superscript"/>
    </w:rPr>
  </w:style>
  <w:style w:type="paragraph" w:styleId="Header">
    <w:name w:val="header"/>
    <w:basedOn w:val="Normal"/>
    <w:link w:val="HeaderChar"/>
    <w:uiPriority w:val="99"/>
    <w:unhideWhenUsed/>
    <w:rsid w:val="001C7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30E"/>
  </w:style>
  <w:style w:type="paragraph" w:styleId="Footer">
    <w:name w:val="footer"/>
    <w:basedOn w:val="Normal"/>
    <w:link w:val="FooterChar"/>
    <w:uiPriority w:val="99"/>
    <w:unhideWhenUsed/>
    <w:rsid w:val="001C7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4477-8C0D-40A8-BE42-0E54C5B2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25</Pages>
  <Words>8917</Words>
  <Characters>47886</Characters>
  <Application>Microsoft Office Word</Application>
  <DocSecurity>0</DocSecurity>
  <Lines>1088</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HAMMAM Nermeen (EEAS-CAIRO)</cp:lastModifiedBy>
  <cp:revision>134</cp:revision>
  <dcterms:created xsi:type="dcterms:W3CDTF">2021-02-10T12:10:00Z</dcterms:created>
  <dcterms:modified xsi:type="dcterms:W3CDTF">2021-02-11T09:45:00Z</dcterms:modified>
</cp:coreProperties>
</file>