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130"/>
        <w:tblOverlap w:val="never"/>
        <w:tblW w:w="8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6"/>
      </w:tblGrid>
      <w:tr w:rsidR="00E15C03" w:rsidRPr="00CC26B0" w14:paraId="7BDC3461" w14:textId="77777777" w:rsidTr="00E15C03">
        <w:trPr>
          <w:cantSplit/>
          <w:trHeight w:val="417"/>
        </w:trPr>
        <w:tc>
          <w:tcPr>
            <w:tcW w:w="8436" w:type="dxa"/>
          </w:tcPr>
          <w:p w14:paraId="31ED68DA" w14:textId="61020986" w:rsidR="00E15C03" w:rsidRPr="00CC26B0" w:rsidRDefault="00E15C03" w:rsidP="00E15C03">
            <w:pPr>
              <w:tabs>
                <w:tab w:val="left" w:pos="5670"/>
              </w:tabs>
              <w:ind w:left="1700"/>
              <w:jc w:val="right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12 September 2023</w:t>
            </w:r>
          </w:p>
        </w:tc>
      </w:tr>
    </w:tbl>
    <w:p w14:paraId="495F7389" w14:textId="77777777" w:rsidR="00F6156B" w:rsidRPr="00CC26B0" w:rsidRDefault="00F6156B" w:rsidP="00F9300A">
      <w:pPr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42" w:rightFromText="142" w:vertAnchor="text" w:horzAnchor="margin" w:tblpX="65" w:tblpY="145"/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6D1DCF" w:rsidRPr="00CC26B0" w14:paraId="4476860A" w14:textId="77777777">
        <w:trPr>
          <w:trHeight w:val="519"/>
        </w:trPr>
        <w:tc>
          <w:tcPr>
            <w:tcW w:w="8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7F31D" w14:textId="77703671" w:rsidR="006D1DCF" w:rsidRPr="00CC26B0" w:rsidRDefault="00F71F44" w:rsidP="001F79BB">
            <w:pPr>
              <w:pStyle w:val="Header"/>
              <w:tabs>
                <w:tab w:val="left" w:pos="2244"/>
                <w:tab w:val="left" w:pos="2880"/>
              </w:tabs>
              <w:spacing w:before="40" w:line="240" w:lineRule="exact"/>
              <w:ind w:right="-427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Questions for the European Commission</w:t>
            </w:r>
            <w:r w:rsidR="00E15C03">
              <w:rPr>
                <w:rFonts w:ascii="Arial" w:hAnsi="Arial" w:cs="Arial"/>
                <w:szCs w:val="22"/>
                <w:lang w:val="en-US"/>
              </w:rPr>
              <w:t xml:space="preserve"> regarding the 11</w:t>
            </w:r>
            <w:r w:rsidR="00E15C03" w:rsidRPr="00E15C03">
              <w:rPr>
                <w:rFonts w:ascii="Arial" w:hAnsi="Arial" w:cs="Arial"/>
                <w:szCs w:val="22"/>
                <w:vertAlign w:val="superscript"/>
                <w:lang w:val="en-US"/>
              </w:rPr>
              <w:t>th</w:t>
            </w:r>
            <w:r w:rsidR="00E15C03">
              <w:rPr>
                <w:rFonts w:ascii="Arial" w:hAnsi="Arial" w:cs="Arial"/>
                <w:szCs w:val="22"/>
                <w:lang w:val="en-US"/>
              </w:rPr>
              <w:t xml:space="preserve"> Sanctions’ package </w:t>
            </w:r>
            <w:r w:rsidR="006D1DCF" w:rsidRPr="00CC26B0">
              <w:rPr>
                <w:rFonts w:ascii="Arial" w:hAnsi="Arial" w:cs="Arial"/>
                <w:szCs w:val="22"/>
                <w:lang w:val="en-US"/>
              </w:rPr>
              <w:tab/>
            </w:r>
            <w:r w:rsidR="006D1DCF" w:rsidRPr="00CC26B0">
              <w:rPr>
                <w:rFonts w:ascii="Arial" w:hAnsi="Arial" w:cs="Arial"/>
                <w:szCs w:val="22"/>
                <w:lang w:val="en-US"/>
              </w:rPr>
              <w:tab/>
            </w:r>
          </w:p>
        </w:tc>
      </w:tr>
      <w:tr w:rsidR="006D1DCF" w:rsidRPr="00CC26B0" w14:paraId="4991A0C5" w14:textId="77777777">
        <w:trPr>
          <w:trHeight w:hRule="exact" w:val="610"/>
        </w:trPr>
        <w:tc>
          <w:tcPr>
            <w:tcW w:w="8575" w:type="dxa"/>
            <w:tcBorders>
              <w:top w:val="single" w:sz="4" w:space="0" w:color="auto"/>
            </w:tcBorders>
          </w:tcPr>
          <w:p w14:paraId="1200F3B2" w14:textId="77777777" w:rsidR="006D1DCF" w:rsidRPr="00E15C03" w:rsidRDefault="006D1DCF" w:rsidP="001F79BB">
            <w:pPr>
              <w:pStyle w:val="Header"/>
              <w:spacing w:after="60" w:line="240" w:lineRule="exact"/>
              <w:rPr>
                <w:rFonts w:ascii="Arial" w:hAnsi="Arial" w:cs="Arial"/>
                <w:szCs w:val="22"/>
              </w:rPr>
            </w:pPr>
          </w:p>
        </w:tc>
      </w:tr>
    </w:tbl>
    <w:p w14:paraId="751A6856" w14:textId="5FF99E35" w:rsidR="00A9470A" w:rsidRPr="00F418AB" w:rsidRDefault="00A9470A" w:rsidP="00D05239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b/>
          <w:bCs/>
          <w:szCs w:val="22"/>
          <w:u w:val="single"/>
          <w:lang w:val="en-US"/>
        </w:rPr>
        <w:t>Specific questions</w:t>
      </w:r>
    </w:p>
    <w:p w14:paraId="063733A5" w14:textId="0EC4F2FF" w:rsidR="001F26D9" w:rsidRPr="00F418AB" w:rsidRDefault="001F26D9" w:rsidP="00D05239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</w:p>
    <w:p w14:paraId="305588DD" w14:textId="1BB71E63" w:rsidR="001A1701" w:rsidRPr="00F418AB" w:rsidRDefault="001F26D9" w:rsidP="00D05239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>On</w:t>
      </w:r>
      <w:r w:rsidR="001A1701" w:rsidRPr="00F418AB">
        <w:rPr>
          <w:rFonts w:ascii="Arial" w:hAnsi="Arial" w:cs="Arial"/>
          <w:szCs w:val="22"/>
          <w:lang w:val="en-US"/>
        </w:rPr>
        <w:t xml:space="preserve"> the import ban on steel and iron products under article 3g (d) / Annex XVII of Regulation (EU) 833/2014, which we understand will have an impact on different industries that </w:t>
      </w:r>
      <w:r w:rsidR="00E952CE">
        <w:rPr>
          <w:rFonts w:ascii="Arial" w:hAnsi="Arial" w:cs="Arial"/>
          <w:szCs w:val="22"/>
          <w:lang w:val="en-US"/>
        </w:rPr>
        <w:t xml:space="preserve">are </w:t>
      </w:r>
      <w:r w:rsidR="001A1701" w:rsidRPr="00F418AB">
        <w:rPr>
          <w:rFonts w:ascii="Arial" w:hAnsi="Arial" w:cs="Arial"/>
          <w:szCs w:val="22"/>
          <w:lang w:val="en-US"/>
        </w:rPr>
        <w:t>use</w:t>
      </w:r>
      <w:r w:rsidR="00E952CE">
        <w:rPr>
          <w:rFonts w:ascii="Arial" w:hAnsi="Arial" w:cs="Arial"/>
          <w:szCs w:val="22"/>
          <w:lang w:val="en-US"/>
        </w:rPr>
        <w:t>rs of</w:t>
      </w:r>
      <w:r w:rsidR="001A1701" w:rsidRPr="00F418AB">
        <w:rPr>
          <w:rFonts w:ascii="Arial" w:hAnsi="Arial" w:cs="Arial"/>
          <w:szCs w:val="22"/>
          <w:lang w:val="en-US"/>
        </w:rPr>
        <w:t xml:space="preserve"> steel and iron products, including automotive, aerospace and defense, machinery.</w:t>
      </w:r>
    </w:p>
    <w:p w14:paraId="60089548" w14:textId="77777777" w:rsidR="001A1701" w:rsidRPr="00F418AB" w:rsidRDefault="001A1701" w:rsidP="00D05239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</w:p>
    <w:p w14:paraId="5FC9F900" w14:textId="2CD470D9" w:rsidR="001A1701" w:rsidRPr="00F418AB" w:rsidRDefault="001A1701" w:rsidP="00E747BF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 xml:space="preserve">Specific questions were raised on the use of Mill Test Certificates (MTCs), which have been referred to by the European Commission relevant FAQ: </w:t>
      </w:r>
    </w:p>
    <w:p w14:paraId="03E17756" w14:textId="77777777" w:rsidR="001A1701" w:rsidRPr="00F418AB" w:rsidRDefault="001A1701" w:rsidP="00D05239">
      <w:pPr>
        <w:pStyle w:val="Header"/>
        <w:tabs>
          <w:tab w:val="clear" w:pos="4153"/>
          <w:tab w:val="clear" w:pos="8306"/>
        </w:tabs>
        <w:ind w:right="-1"/>
        <w:jc w:val="both"/>
        <w:rPr>
          <w:rFonts w:ascii="Arial" w:hAnsi="Arial" w:cs="Arial"/>
          <w:szCs w:val="22"/>
          <w:lang w:val="en-US"/>
        </w:rPr>
      </w:pPr>
    </w:p>
    <w:p w14:paraId="747D5609" w14:textId="5B158372" w:rsidR="00E8257F" w:rsidRPr="00F418AB" w:rsidRDefault="001A1701" w:rsidP="00D05239">
      <w:pPr>
        <w:pStyle w:val="Header"/>
        <w:numPr>
          <w:ilvl w:val="0"/>
          <w:numId w:val="15"/>
        </w:numPr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>The FAQ states that MT</w:t>
      </w:r>
      <w:r w:rsidR="00E8257F" w:rsidRPr="00F418AB">
        <w:rPr>
          <w:rFonts w:ascii="Arial" w:hAnsi="Arial" w:cs="Arial"/>
          <w:szCs w:val="22"/>
          <w:lang w:val="en-US"/>
        </w:rPr>
        <w:t>C</w:t>
      </w:r>
      <w:r w:rsidRPr="00F418AB">
        <w:rPr>
          <w:rFonts w:ascii="Arial" w:hAnsi="Arial" w:cs="Arial"/>
          <w:szCs w:val="22"/>
          <w:lang w:val="en-US"/>
        </w:rPr>
        <w:t>s “may be sufficient…”. It would be important f</w:t>
      </w:r>
      <w:r w:rsidR="00E8257F" w:rsidRPr="00F418AB">
        <w:rPr>
          <w:rFonts w:ascii="Arial" w:hAnsi="Arial" w:cs="Arial"/>
          <w:szCs w:val="22"/>
          <w:lang w:val="en-US"/>
        </w:rPr>
        <w:t>o</w:t>
      </w:r>
      <w:r w:rsidRPr="00F418AB">
        <w:rPr>
          <w:rFonts w:ascii="Arial" w:hAnsi="Arial" w:cs="Arial"/>
          <w:szCs w:val="22"/>
          <w:lang w:val="en-US"/>
        </w:rPr>
        <w:t xml:space="preserve">r the industry </w:t>
      </w:r>
      <w:r w:rsidR="00E8257F" w:rsidRPr="00F418AB">
        <w:rPr>
          <w:rFonts w:ascii="Arial" w:hAnsi="Arial" w:cs="Arial"/>
          <w:szCs w:val="22"/>
          <w:lang w:val="en-US"/>
        </w:rPr>
        <w:t>t</w:t>
      </w:r>
      <w:r w:rsidRPr="00F418AB">
        <w:rPr>
          <w:rFonts w:ascii="Arial" w:hAnsi="Arial" w:cs="Arial"/>
          <w:szCs w:val="22"/>
          <w:lang w:val="en-US"/>
        </w:rPr>
        <w:t>o</w:t>
      </w:r>
      <w:r w:rsidR="00E8257F" w:rsidRPr="00F418AB">
        <w:rPr>
          <w:rFonts w:ascii="Arial" w:hAnsi="Arial" w:cs="Arial"/>
          <w:szCs w:val="22"/>
          <w:lang w:val="en-US"/>
        </w:rPr>
        <w:t xml:space="preserve"> understand whether other certificates of origin and/or other documentation will be accepted by the customs authorities.</w:t>
      </w:r>
      <w:r w:rsidR="00E952CE">
        <w:rPr>
          <w:rFonts w:ascii="Arial" w:hAnsi="Arial" w:cs="Arial"/>
          <w:szCs w:val="22"/>
          <w:lang w:val="en-US"/>
        </w:rPr>
        <w:t xml:space="preserve"> </w:t>
      </w:r>
    </w:p>
    <w:p w14:paraId="4A9252AF" w14:textId="77777777" w:rsidR="00E8257F" w:rsidRPr="00F418AB" w:rsidRDefault="00E8257F" w:rsidP="00D05239">
      <w:pPr>
        <w:pStyle w:val="Header"/>
        <w:ind w:left="720" w:right="-1"/>
        <w:jc w:val="both"/>
        <w:rPr>
          <w:rFonts w:ascii="Arial" w:hAnsi="Arial" w:cs="Arial"/>
          <w:szCs w:val="22"/>
          <w:lang w:val="en-US"/>
        </w:rPr>
      </w:pPr>
    </w:p>
    <w:p w14:paraId="6B1A814C" w14:textId="20C4C756" w:rsidR="001A1701" w:rsidRPr="00350246" w:rsidRDefault="00E8257F" w:rsidP="00D05239">
      <w:pPr>
        <w:pStyle w:val="Header"/>
        <w:numPr>
          <w:ilvl w:val="0"/>
          <w:numId w:val="15"/>
        </w:numPr>
        <w:ind w:right="-1"/>
        <w:jc w:val="both"/>
        <w:rPr>
          <w:rFonts w:ascii="Arial" w:hAnsi="Arial" w:cs="Arial"/>
          <w:b/>
          <w:bCs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 xml:space="preserve">To this end, we understand that different customs authorities take different approaches. </w:t>
      </w:r>
      <w:r w:rsidRPr="00E15C03">
        <w:rPr>
          <w:rFonts w:ascii="Arial" w:hAnsi="Arial" w:cs="Arial"/>
          <w:szCs w:val="22"/>
          <w:lang w:val="en-US"/>
        </w:rPr>
        <w:t xml:space="preserve">Additional guidance </w:t>
      </w:r>
      <w:r w:rsidR="00350246" w:rsidRPr="00E15C03">
        <w:rPr>
          <w:rFonts w:ascii="Arial" w:hAnsi="Arial" w:cs="Arial"/>
          <w:szCs w:val="22"/>
          <w:lang w:val="en-US"/>
        </w:rPr>
        <w:t xml:space="preserve">that takes a flexible and pragmatic view is needed </w:t>
      </w:r>
      <w:r w:rsidRPr="00E15C03">
        <w:rPr>
          <w:rFonts w:ascii="Arial" w:hAnsi="Arial" w:cs="Arial"/>
          <w:szCs w:val="22"/>
          <w:lang w:val="en-US"/>
        </w:rPr>
        <w:t>to ensure a harmonized interpretation and implementation of the measure</w:t>
      </w:r>
      <w:r w:rsidR="00350246" w:rsidRPr="00E15C03">
        <w:rPr>
          <w:rFonts w:ascii="Arial" w:hAnsi="Arial" w:cs="Arial"/>
          <w:szCs w:val="22"/>
          <w:lang w:val="en-US"/>
        </w:rPr>
        <w:t>.</w:t>
      </w:r>
      <w:r w:rsidR="00350246" w:rsidRPr="00350246">
        <w:rPr>
          <w:rFonts w:ascii="Arial" w:hAnsi="Arial" w:cs="Arial"/>
          <w:b/>
          <w:bCs/>
          <w:szCs w:val="22"/>
          <w:lang w:val="en-US"/>
        </w:rPr>
        <w:t xml:space="preserve">  </w:t>
      </w:r>
    </w:p>
    <w:p w14:paraId="20E630FE" w14:textId="77777777" w:rsidR="00E8257F" w:rsidRPr="00F418AB" w:rsidRDefault="00E8257F" w:rsidP="00D05239">
      <w:pPr>
        <w:pStyle w:val="ListParagraph"/>
        <w:jc w:val="both"/>
        <w:rPr>
          <w:rFonts w:ascii="Arial" w:hAnsi="Arial" w:cs="Arial"/>
          <w:szCs w:val="22"/>
          <w:lang w:val="en-US"/>
        </w:rPr>
      </w:pPr>
    </w:p>
    <w:p w14:paraId="08019665" w14:textId="40E94C9F" w:rsidR="00E8257F" w:rsidRPr="00F418AB" w:rsidRDefault="00E8257F" w:rsidP="00D05239">
      <w:pPr>
        <w:pStyle w:val="Header"/>
        <w:numPr>
          <w:ilvl w:val="0"/>
          <w:numId w:val="15"/>
        </w:numPr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>MTCs are not common practice, and can be hard to get, as not all vendors can provide an MTC</w:t>
      </w:r>
      <w:r w:rsidR="00D05239" w:rsidRPr="00F418AB">
        <w:rPr>
          <w:rFonts w:ascii="Arial" w:hAnsi="Arial" w:cs="Arial"/>
          <w:szCs w:val="22"/>
          <w:lang w:val="en-US"/>
        </w:rPr>
        <w:t>.</w:t>
      </w:r>
      <w:r w:rsidR="00350246">
        <w:rPr>
          <w:rFonts w:ascii="Arial" w:hAnsi="Arial" w:cs="Arial"/>
          <w:szCs w:val="22"/>
          <w:lang w:val="en-US"/>
        </w:rPr>
        <w:t xml:space="preserve"> </w:t>
      </w:r>
      <w:r w:rsidR="00BC6953" w:rsidRPr="00F418AB">
        <w:rPr>
          <w:rFonts w:ascii="Arial" w:hAnsi="Arial" w:cs="Arial"/>
          <w:szCs w:val="22"/>
          <w:lang w:val="en-US"/>
        </w:rPr>
        <w:t>In addition, having reviewed a sample of MTCs, industry has alerted us to the fact that they often do not contain country of origin information</w:t>
      </w:r>
      <w:r w:rsidR="00BC6953">
        <w:rPr>
          <w:rFonts w:ascii="Arial" w:hAnsi="Arial" w:cs="Arial"/>
          <w:szCs w:val="22"/>
          <w:lang w:val="en-US"/>
        </w:rPr>
        <w:t xml:space="preserve"> </w:t>
      </w:r>
      <w:r w:rsidR="00350246">
        <w:rPr>
          <w:rFonts w:ascii="Arial" w:hAnsi="Arial" w:cs="Arial"/>
          <w:szCs w:val="22"/>
          <w:lang w:val="en-US"/>
        </w:rPr>
        <w:t>How would customs administrations deal with situations where importers do not receive evidence from suppliers despite multiple requests (</w:t>
      </w:r>
      <w:proofErr w:type="gramStart"/>
      <w:r w:rsidR="00350246">
        <w:rPr>
          <w:rFonts w:ascii="Arial" w:hAnsi="Arial" w:cs="Arial"/>
          <w:szCs w:val="22"/>
          <w:lang w:val="en-US"/>
        </w:rPr>
        <w:t>e.g.</w:t>
      </w:r>
      <w:proofErr w:type="gramEnd"/>
      <w:r w:rsidR="00350246">
        <w:rPr>
          <w:rFonts w:ascii="Arial" w:hAnsi="Arial" w:cs="Arial"/>
          <w:szCs w:val="22"/>
          <w:lang w:val="en-US"/>
        </w:rPr>
        <w:t xml:space="preserve"> with references to national anti-foreign sanctions regulations)?</w:t>
      </w:r>
    </w:p>
    <w:p w14:paraId="3FF35D62" w14:textId="6F873080" w:rsidR="00E8257F" w:rsidRPr="00F418AB" w:rsidRDefault="00E8257F" w:rsidP="00D05239">
      <w:pPr>
        <w:pStyle w:val="ListParagraph"/>
        <w:jc w:val="both"/>
        <w:rPr>
          <w:rFonts w:ascii="Arial" w:hAnsi="Arial" w:cs="Arial"/>
          <w:szCs w:val="22"/>
          <w:lang w:val="en-US"/>
        </w:rPr>
      </w:pPr>
    </w:p>
    <w:p w14:paraId="072F4D53" w14:textId="56A1D938" w:rsidR="001A1701" w:rsidRPr="00F418AB" w:rsidRDefault="00E8257F" w:rsidP="00D05239">
      <w:pPr>
        <w:pStyle w:val="Header"/>
        <w:numPr>
          <w:ilvl w:val="0"/>
          <w:numId w:val="15"/>
        </w:numPr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 xml:space="preserve">There is a cost linked to the issuance of MTCs, varying between </w:t>
      </w:r>
      <w:r w:rsidR="001A1701" w:rsidRPr="00F418AB">
        <w:rPr>
          <w:rFonts w:ascii="Arial" w:hAnsi="Arial" w:cs="Arial"/>
          <w:szCs w:val="22"/>
          <w:lang w:val="en-US"/>
        </w:rPr>
        <w:t>150 – 2000 EUR per certificate</w:t>
      </w:r>
      <w:r w:rsidR="00BC6953">
        <w:rPr>
          <w:rFonts w:ascii="Arial" w:hAnsi="Arial" w:cs="Arial"/>
          <w:szCs w:val="22"/>
          <w:lang w:val="en-US"/>
        </w:rPr>
        <w:t xml:space="preserve">. This </w:t>
      </w:r>
      <w:r w:rsidR="00350246">
        <w:rPr>
          <w:rFonts w:ascii="Arial" w:hAnsi="Arial" w:cs="Arial"/>
          <w:szCs w:val="22"/>
          <w:lang w:val="en-US"/>
        </w:rPr>
        <w:t>will have a significant impact on companies</w:t>
      </w:r>
      <w:r w:rsidR="00BC6953">
        <w:rPr>
          <w:rFonts w:ascii="Arial" w:hAnsi="Arial" w:cs="Arial"/>
          <w:szCs w:val="22"/>
          <w:lang w:val="en-US"/>
        </w:rPr>
        <w:t>,</w:t>
      </w:r>
      <w:r w:rsidR="00350246">
        <w:rPr>
          <w:rFonts w:ascii="Arial" w:hAnsi="Arial" w:cs="Arial"/>
          <w:szCs w:val="22"/>
          <w:lang w:val="en-US"/>
        </w:rPr>
        <w:t xml:space="preserve"> especially SMEs</w:t>
      </w:r>
      <w:r w:rsidR="00BC6953">
        <w:rPr>
          <w:rFonts w:ascii="Arial" w:hAnsi="Arial" w:cs="Arial"/>
          <w:szCs w:val="22"/>
          <w:lang w:val="en-US"/>
        </w:rPr>
        <w:t>. We need to consider that in some cases we are dealing with small consignments, returned goods, re-</w:t>
      </w:r>
      <w:proofErr w:type="gramStart"/>
      <w:r w:rsidR="00BC6953">
        <w:rPr>
          <w:rFonts w:ascii="Arial" w:hAnsi="Arial" w:cs="Arial"/>
          <w:szCs w:val="22"/>
          <w:lang w:val="en-US"/>
        </w:rPr>
        <w:t>imports</w:t>
      </w:r>
      <w:proofErr w:type="gramEnd"/>
      <w:r w:rsidR="00BC6953">
        <w:rPr>
          <w:rFonts w:ascii="Arial" w:hAnsi="Arial" w:cs="Arial"/>
          <w:szCs w:val="22"/>
          <w:lang w:val="en-US"/>
        </w:rPr>
        <w:t xml:space="preserve"> or permanent metal packaging.  </w:t>
      </w:r>
    </w:p>
    <w:p w14:paraId="4636770C" w14:textId="77777777" w:rsidR="00D05239" w:rsidRPr="00F418AB" w:rsidRDefault="00D05239" w:rsidP="00D05239">
      <w:pPr>
        <w:pStyle w:val="ListParagraph"/>
        <w:rPr>
          <w:rFonts w:ascii="Arial" w:hAnsi="Arial" w:cs="Arial"/>
          <w:szCs w:val="22"/>
          <w:lang w:val="en-US"/>
        </w:rPr>
      </w:pPr>
    </w:p>
    <w:p w14:paraId="3EFB353F" w14:textId="2EC8F679" w:rsidR="00D05239" w:rsidRPr="001B0650" w:rsidRDefault="00D05239" w:rsidP="00E747BF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F418AB">
        <w:rPr>
          <w:rFonts w:ascii="Arial" w:hAnsi="Arial" w:cs="Arial"/>
          <w:sz w:val="22"/>
          <w:szCs w:val="22"/>
          <w:lang w:val="en-US"/>
        </w:rPr>
        <w:t xml:space="preserve">Moreover, the </w:t>
      </w:r>
      <w:r w:rsidR="001D7F4A">
        <w:rPr>
          <w:rFonts w:ascii="Arial" w:hAnsi="Arial" w:cs="Arial"/>
          <w:sz w:val="22"/>
          <w:szCs w:val="22"/>
          <w:lang w:val="en-US"/>
        </w:rPr>
        <w:t>R</w:t>
      </w:r>
      <w:r w:rsidRPr="00F418AB">
        <w:rPr>
          <w:rFonts w:ascii="Arial" w:hAnsi="Arial" w:cs="Arial"/>
          <w:sz w:val="22"/>
          <w:szCs w:val="22"/>
          <w:lang w:val="en-US"/>
        </w:rPr>
        <w:t xml:space="preserve">egulation does not </w:t>
      </w:r>
      <w:r w:rsidRPr="00F418AB">
        <w:rPr>
          <w:rFonts w:ascii="Arial" w:hAnsi="Arial" w:cs="Arial"/>
          <w:sz w:val="22"/>
          <w:szCs w:val="22"/>
        </w:rPr>
        <w:t xml:space="preserve">distinguish between old and new </w:t>
      </w:r>
      <w:r w:rsidR="00350246">
        <w:rPr>
          <w:rFonts w:ascii="Arial" w:hAnsi="Arial" w:cs="Arial"/>
          <w:sz w:val="22"/>
          <w:szCs w:val="22"/>
        </w:rPr>
        <w:t>steel</w:t>
      </w:r>
      <w:r w:rsidR="00F418AB" w:rsidRPr="00F418AB">
        <w:rPr>
          <w:rFonts w:ascii="Arial" w:hAnsi="Arial" w:cs="Arial"/>
          <w:sz w:val="22"/>
          <w:szCs w:val="22"/>
        </w:rPr>
        <w:t xml:space="preserve">. This </w:t>
      </w:r>
      <w:r w:rsidR="00F418AB">
        <w:rPr>
          <w:rFonts w:ascii="Arial" w:hAnsi="Arial" w:cs="Arial"/>
          <w:sz w:val="22"/>
          <w:szCs w:val="22"/>
        </w:rPr>
        <w:t xml:space="preserve">is expected to </w:t>
      </w:r>
      <w:r w:rsidR="00F418AB" w:rsidRPr="00F418AB">
        <w:rPr>
          <w:rFonts w:ascii="Arial" w:hAnsi="Arial" w:cs="Arial"/>
          <w:sz w:val="22"/>
          <w:szCs w:val="22"/>
        </w:rPr>
        <w:t>create</w:t>
      </w:r>
      <w:r w:rsidR="00F418AB">
        <w:rPr>
          <w:rFonts w:ascii="Arial" w:hAnsi="Arial" w:cs="Arial"/>
          <w:sz w:val="22"/>
          <w:szCs w:val="22"/>
        </w:rPr>
        <w:t xml:space="preserve"> additional challenges</w:t>
      </w:r>
      <w:r w:rsidR="009F3502">
        <w:rPr>
          <w:rFonts w:ascii="Arial" w:hAnsi="Arial" w:cs="Arial"/>
          <w:sz w:val="22"/>
          <w:szCs w:val="22"/>
        </w:rPr>
        <w:t>,</w:t>
      </w:r>
      <w:r w:rsidR="00F418AB">
        <w:rPr>
          <w:rFonts w:ascii="Arial" w:hAnsi="Arial" w:cs="Arial"/>
          <w:sz w:val="22"/>
          <w:szCs w:val="22"/>
        </w:rPr>
        <w:t xml:space="preserve"> as finding country of origin information for </w:t>
      </w:r>
      <w:r w:rsidR="00F418AB" w:rsidRPr="00F418AB">
        <w:rPr>
          <w:rFonts w:ascii="Arial" w:hAnsi="Arial" w:cs="Arial"/>
          <w:sz w:val="22"/>
          <w:szCs w:val="22"/>
        </w:rPr>
        <w:t xml:space="preserve">used </w:t>
      </w:r>
      <w:r w:rsidR="00350246">
        <w:rPr>
          <w:rFonts w:ascii="Arial" w:hAnsi="Arial" w:cs="Arial"/>
          <w:sz w:val="22"/>
          <w:szCs w:val="22"/>
        </w:rPr>
        <w:t xml:space="preserve">steel or products containing used steel, such as spare parts </w:t>
      </w:r>
      <w:r w:rsidR="00F418AB" w:rsidRPr="00F418AB">
        <w:rPr>
          <w:rFonts w:ascii="Arial" w:hAnsi="Arial" w:cs="Arial"/>
          <w:sz w:val="22"/>
          <w:szCs w:val="22"/>
        </w:rPr>
        <w:t xml:space="preserve">(some of which have been </w:t>
      </w:r>
      <w:r w:rsidR="00F418AB">
        <w:rPr>
          <w:rFonts w:ascii="Arial" w:hAnsi="Arial" w:cs="Arial"/>
          <w:sz w:val="22"/>
          <w:szCs w:val="22"/>
        </w:rPr>
        <w:t>in circulation for many years) is extremely difficult if not impossible.</w:t>
      </w:r>
    </w:p>
    <w:p w14:paraId="06B13A81" w14:textId="77777777" w:rsidR="001B0650" w:rsidRDefault="001B0650" w:rsidP="001B0650">
      <w:pPr>
        <w:pStyle w:val="ListParagraph"/>
        <w:rPr>
          <w:rFonts w:ascii="Arial" w:hAnsi="Arial" w:cs="Arial"/>
          <w:szCs w:val="22"/>
          <w:lang w:val="en-US"/>
        </w:rPr>
      </w:pPr>
    </w:p>
    <w:p w14:paraId="2B340BB0" w14:textId="54FDBE1D" w:rsidR="001B0650" w:rsidRDefault="001B0650" w:rsidP="00E747BF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Finally, although </w:t>
      </w:r>
      <w:r w:rsidR="00350246">
        <w:rPr>
          <w:rFonts w:ascii="Arial" w:hAnsi="Arial" w:cs="Arial"/>
          <w:sz w:val="22"/>
          <w:szCs w:val="22"/>
          <w:lang w:val="en-US"/>
        </w:rPr>
        <w:t xml:space="preserve">Japan, </w:t>
      </w:r>
      <w:r>
        <w:rPr>
          <w:rFonts w:ascii="Arial" w:hAnsi="Arial" w:cs="Arial"/>
          <w:sz w:val="22"/>
          <w:szCs w:val="22"/>
          <w:lang w:val="en-US"/>
        </w:rPr>
        <w:t xml:space="preserve">the UK and the US have also adopted a ban on steel and iron products, the proof of origin in the form of MTCs is not an obligation. </w:t>
      </w:r>
      <w:r>
        <w:rPr>
          <w:rFonts w:ascii="Arial" w:hAnsi="Arial" w:cs="Arial"/>
          <w:sz w:val="22"/>
          <w:szCs w:val="22"/>
          <w:lang w:val="en-US"/>
        </w:rPr>
        <w:lastRenderedPageBreak/>
        <w:t>This may also lead to competition challenges</w:t>
      </w:r>
      <w:r w:rsidR="00350246">
        <w:rPr>
          <w:rFonts w:ascii="Arial" w:hAnsi="Arial" w:cs="Arial"/>
          <w:sz w:val="22"/>
          <w:szCs w:val="22"/>
          <w:lang w:val="en-US"/>
        </w:rPr>
        <w:t xml:space="preserve"> and an uneven playing field</w:t>
      </w:r>
      <w:r>
        <w:rPr>
          <w:rFonts w:ascii="Arial" w:hAnsi="Arial" w:cs="Arial"/>
          <w:sz w:val="22"/>
          <w:szCs w:val="22"/>
          <w:lang w:val="en-US"/>
        </w:rPr>
        <w:t xml:space="preserve"> for European companies.</w:t>
      </w:r>
      <w:r w:rsidR="00350246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03D0A2" w14:textId="77777777" w:rsidR="00E15C03" w:rsidRDefault="00E15C03" w:rsidP="00E15C03">
      <w:pPr>
        <w:pStyle w:val="ListParagraph"/>
        <w:rPr>
          <w:rFonts w:ascii="Arial" w:hAnsi="Arial" w:cs="Arial"/>
          <w:szCs w:val="22"/>
          <w:lang w:val="en-US"/>
        </w:rPr>
      </w:pPr>
    </w:p>
    <w:p w14:paraId="32A270D7" w14:textId="775BB08D" w:rsidR="001F26D9" w:rsidRPr="00E15C03" w:rsidRDefault="00E15C03" w:rsidP="00BF0B10">
      <w:pPr>
        <w:pStyle w:val="Default"/>
        <w:numPr>
          <w:ilvl w:val="0"/>
          <w:numId w:val="15"/>
        </w:numPr>
        <w:ind w:right="-1"/>
        <w:jc w:val="both"/>
        <w:rPr>
          <w:rFonts w:ascii="Arial" w:hAnsi="Arial" w:cs="Arial"/>
          <w:szCs w:val="22"/>
          <w:lang w:val="en-US"/>
        </w:rPr>
      </w:pPr>
      <w:r w:rsidRPr="00E15C03">
        <w:rPr>
          <w:rFonts w:ascii="Arial" w:hAnsi="Arial" w:cs="Arial"/>
          <w:sz w:val="22"/>
          <w:szCs w:val="22"/>
          <w:lang w:val="en-US"/>
        </w:rPr>
        <w:t>Members have also asked to clarify whether they would need to provide proof of origin for shipments from countries with a close relationship with the EU like Switzerland or Lichenstein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455E17A" w14:textId="77777777" w:rsidR="00E15C03" w:rsidRPr="00E15C03" w:rsidRDefault="00E15C03" w:rsidP="00E15C03">
      <w:pPr>
        <w:pStyle w:val="Default"/>
        <w:ind w:right="-1"/>
        <w:jc w:val="both"/>
        <w:rPr>
          <w:rFonts w:ascii="Arial" w:hAnsi="Arial" w:cs="Arial"/>
          <w:szCs w:val="22"/>
          <w:lang w:val="en-US"/>
        </w:rPr>
      </w:pPr>
    </w:p>
    <w:p w14:paraId="6D95BCCC" w14:textId="5BBE82D1" w:rsidR="00ED1087" w:rsidRPr="00F418AB" w:rsidRDefault="00D05239" w:rsidP="00F418AB">
      <w:pPr>
        <w:ind w:right="-1"/>
        <w:jc w:val="both"/>
        <w:rPr>
          <w:rFonts w:ascii="Arial" w:hAnsi="Arial" w:cs="Arial"/>
          <w:szCs w:val="22"/>
          <w:lang w:val="en-US"/>
        </w:rPr>
      </w:pPr>
      <w:r w:rsidRPr="00F418AB">
        <w:rPr>
          <w:rFonts w:ascii="Arial" w:hAnsi="Arial" w:cs="Arial"/>
          <w:szCs w:val="22"/>
          <w:lang w:val="en-US"/>
        </w:rPr>
        <w:t xml:space="preserve">In </w:t>
      </w:r>
      <w:r w:rsidR="00350246">
        <w:rPr>
          <w:rFonts w:ascii="Arial" w:hAnsi="Arial" w:cs="Arial"/>
          <w:szCs w:val="22"/>
          <w:lang w:val="en-US"/>
        </w:rPr>
        <w:t xml:space="preserve">view of all these challenges, </w:t>
      </w:r>
      <w:r w:rsidR="001A61DF">
        <w:rPr>
          <w:rFonts w:ascii="Arial" w:hAnsi="Arial" w:cs="Arial"/>
          <w:szCs w:val="22"/>
          <w:lang w:val="en-US"/>
        </w:rPr>
        <w:t>companies</w:t>
      </w:r>
      <w:r w:rsidR="00350246">
        <w:rPr>
          <w:rFonts w:ascii="Arial" w:hAnsi="Arial" w:cs="Arial"/>
          <w:szCs w:val="22"/>
          <w:lang w:val="en-US"/>
        </w:rPr>
        <w:t xml:space="preserve"> n</w:t>
      </w:r>
      <w:r w:rsidR="001A61DF">
        <w:rPr>
          <w:rFonts w:ascii="Arial" w:hAnsi="Arial" w:cs="Arial"/>
          <w:szCs w:val="22"/>
          <w:lang w:val="en-US"/>
        </w:rPr>
        <w:t xml:space="preserve">eed more time and additional clarifications to be able to fully comply with the Regulation. </w:t>
      </w:r>
      <w:r w:rsidR="00350246">
        <w:rPr>
          <w:rFonts w:ascii="Arial" w:hAnsi="Arial" w:cs="Arial"/>
          <w:szCs w:val="22"/>
          <w:lang w:val="en-US"/>
        </w:rPr>
        <w:t>Therefore, w</w:t>
      </w:r>
      <w:r w:rsidR="001A61DF">
        <w:rPr>
          <w:rFonts w:ascii="Arial" w:hAnsi="Arial" w:cs="Arial"/>
          <w:szCs w:val="22"/>
          <w:lang w:val="en-US"/>
        </w:rPr>
        <w:t xml:space="preserve">e </w:t>
      </w:r>
      <w:r w:rsidRPr="00F418AB">
        <w:rPr>
          <w:rFonts w:ascii="Arial" w:hAnsi="Arial" w:cs="Arial"/>
          <w:szCs w:val="22"/>
          <w:lang w:val="en-US"/>
        </w:rPr>
        <w:t>invite the European Commission to consider:</w:t>
      </w:r>
    </w:p>
    <w:p w14:paraId="183CEFC5" w14:textId="77777777" w:rsidR="00D05239" w:rsidRPr="00F418AB" w:rsidRDefault="00D05239" w:rsidP="00F418AB">
      <w:pPr>
        <w:ind w:right="-1"/>
        <w:jc w:val="both"/>
        <w:rPr>
          <w:rFonts w:ascii="Arial" w:hAnsi="Arial" w:cs="Arial"/>
          <w:szCs w:val="22"/>
          <w:lang w:val="en-US"/>
        </w:rPr>
      </w:pPr>
    </w:p>
    <w:p w14:paraId="70A5AC55" w14:textId="23A8A52D" w:rsidR="00D05239" w:rsidRPr="00D05239" w:rsidRDefault="00D05239" w:rsidP="00F418AB">
      <w:pPr>
        <w:numPr>
          <w:ilvl w:val="0"/>
          <w:numId w:val="16"/>
        </w:numPr>
        <w:jc w:val="both"/>
        <w:rPr>
          <w:rFonts w:ascii="Arial" w:hAnsi="Arial" w:cs="Arial"/>
          <w:szCs w:val="22"/>
          <w:lang w:val="en-US"/>
          <w14:ligatures w14:val="standardContextual"/>
        </w:rPr>
      </w:pPr>
      <w:r w:rsidRPr="00D05239">
        <w:rPr>
          <w:rFonts w:ascii="Arial" w:hAnsi="Arial" w:cs="Arial"/>
          <w:szCs w:val="22"/>
          <w:lang w:val="en-US"/>
          <w14:ligatures w14:val="standardContextual"/>
        </w:rPr>
        <w:t>Extend</w:t>
      </w:r>
      <w:r w:rsidRPr="00F418AB">
        <w:rPr>
          <w:rFonts w:ascii="Arial" w:hAnsi="Arial" w:cs="Arial"/>
          <w:szCs w:val="22"/>
          <w:lang w:val="en-US"/>
          <w14:ligatures w14:val="standardContextual"/>
        </w:rPr>
        <w:t>ing</w:t>
      </w:r>
      <w:r w:rsidRPr="00D05239">
        <w:rPr>
          <w:rFonts w:ascii="Arial" w:hAnsi="Arial" w:cs="Arial"/>
          <w:szCs w:val="22"/>
          <w:lang w:val="en-US"/>
          <w14:ligatures w14:val="standardContextual"/>
        </w:rPr>
        <w:t xml:space="preserve"> the deadline for the implementation of these controls to at least spring 2024. </w:t>
      </w:r>
    </w:p>
    <w:p w14:paraId="791BD7A2" w14:textId="77777777" w:rsidR="00350246" w:rsidRPr="00D05239" w:rsidRDefault="00350246" w:rsidP="00350246">
      <w:pPr>
        <w:numPr>
          <w:ilvl w:val="0"/>
          <w:numId w:val="16"/>
        </w:numPr>
        <w:jc w:val="both"/>
        <w:rPr>
          <w:rFonts w:ascii="Arial" w:hAnsi="Arial" w:cs="Arial"/>
          <w:szCs w:val="22"/>
          <w:lang w:val="en-US"/>
          <w14:ligatures w14:val="standardContextual"/>
        </w:rPr>
      </w:pPr>
      <w:r>
        <w:rPr>
          <w:rFonts w:ascii="Arial" w:hAnsi="Arial" w:cs="Arial"/>
          <w:szCs w:val="22"/>
          <w:lang w:val="en-US"/>
          <w14:ligatures w14:val="standardContextual"/>
        </w:rPr>
        <w:t xml:space="preserve">Provide clarifications regarding the validity of alternative documentation to </w:t>
      </w:r>
      <w:r w:rsidRPr="00D05239">
        <w:rPr>
          <w:rFonts w:ascii="Arial" w:hAnsi="Arial" w:cs="Arial"/>
          <w:szCs w:val="22"/>
          <w:lang w:val="en-US"/>
          <w14:ligatures w14:val="standardContextual"/>
        </w:rPr>
        <w:t>MTCs.</w:t>
      </w:r>
    </w:p>
    <w:p w14:paraId="44F4FF16" w14:textId="77777777" w:rsidR="00350246" w:rsidRPr="000C0309" w:rsidRDefault="00350246" w:rsidP="00350246">
      <w:pPr>
        <w:numPr>
          <w:ilvl w:val="0"/>
          <w:numId w:val="16"/>
        </w:numPr>
        <w:jc w:val="both"/>
        <w:rPr>
          <w:rFonts w:ascii="Calibri" w:hAnsi="Calibri" w:cs="Calibri"/>
          <w:szCs w:val="22"/>
          <w:lang w:val="en-US"/>
          <w14:ligatures w14:val="standardContextual"/>
        </w:rPr>
      </w:pPr>
      <w:r>
        <w:rPr>
          <w:rFonts w:ascii="Arial" w:hAnsi="Arial" w:cs="Arial"/>
          <w:szCs w:val="22"/>
          <w:lang w:val="en-US"/>
          <w14:ligatures w14:val="standardContextual"/>
        </w:rPr>
        <w:t xml:space="preserve">Making a distinction between old and new products and ensuring that the measure is not applied retroactively </w:t>
      </w:r>
      <w:r w:rsidRPr="00D05239">
        <w:rPr>
          <w:rFonts w:ascii="Arial" w:hAnsi="Arial" w:cs="Arial"/>
          <w:szCs w:val="22"/>
          <w:lang w:val="en-US"/>
          <w14:ligatures w14:val="standardContextual"/>
        </w:rPr>
        <w:t xml:space="preserve">to products already </w:t>
      </w:r>
      <w:r>
        <w:rPr>
          <w:rFonts w:ascii="Arial" w:hAnsi="Arial" w:cs="Arial"/>
          <w:szCs w:val="22"/>
          <w:lang w:val="en-US"/>
          <w14:ligatures w14:val="standardContextual"/>
        </w:rPr>
        <w:t>in circulation</w:t>
      </w:r>
      <w:r w:rsidRPr="00D05239">
        <w:rPr>
          <w:rFonts w:ascii="Arial" w:hAnsi="Arial" w:cs="Arial"/>
          <w:szCs w:val="22"/>
          <w:lang w:val="en-US"/>
          <w14:ligatures w14:val="standardContextual"/>
        </w:rPr>
        <w:t>.</w:t>
      </w:r>
    </w:p>
    <w:p w14:paraId="1ED12048" w14:textId="04D7F4DA" w:rsidR="00D05239" w:rsidRPr="00D05239" w:rsidRDefault="00D05239" w:rsidP="00F418AB">
      <w:pPr>
        <w:numPr>
          <w:ilvl w:val="0"/>
          <w:numId w:val="16"/>
        </w:numPr>
        <w:jc w:val="both"/>
        <w:rPr>
          <w:rFonts w:ascii="Arial" w:hAnsi="Arial" w:cs="Arial"/>
          <w:szCs w:val="22"/>
          <w:lang w:val="en-US"/>
          <w14:ligatures w14:val="standardContextual"/>
        </w:rPr>
      </w:pPr>
      <w:r w:rsidRPr="00D05239">
        <w:rPr>
          <w:rFonts w:ascii="Arial" w:hAnsi="Arial" w:cs="Arial"/>
          <w:szCs w:val="22"/>
          <w:lang w:val="en-US"/>
          <w14:ligatures w14:val="standardContextual"/>
        </w:rPr>
        <w:t>Introduc</w:t>
      </w:r>
      <w:r w:rsidRPr="00F418AB">
        <w:rPr>
          <w:rFonts w:ascii="Arial" w:hAnsi="Arial" w:cs="Arial"/>
          <w:szCs w:val="22"/>
          <w:lang w:val="en-US"/>
          <w14:ligatures w14:val="standardContextual"/>
        </w:rPr>
        <w:t>ing</w:t>
      </w:r>
      <w:r w:rsidRPr="00D05239">
        <w:rPr>
          <w:rFonts w:ascii="Arial" w:hAnsi="Arial" w:cs="Arial"/>
          <w:szCs w:val="22"/>
          <w:lang w:val="en-US"/>
          <w14:ligatures w14:val="standardContextual"/>
        </w:rPr>
        <w:t xml:space="preserve"> </w:t>
      </w:r>
      <w:r w:rsidR="00BC6953">
        <w:rPr>
          <w:rFonts w:ascii="Arial" w:hAnsi="Arial" w:cs="Arial"/>
          <w:szCs w:val="22"/>
          <w:lang w:val="en-US"/>
          <w14:ligatures w14:val="standardContextual"/>
        </w:rPr>
        <w:t xml:space="preserve">an exemption for small consignments, permanent </w:t>
      </w:r>
      <w:r w:rsidR="00E15C03">
        <w:rPr>
          <w:rFonts w:ascii="Arial" w:hAnsi="Arial" w:cs="Arial"/>
          <w:szCs w:val="22"/>
          <w:lang w:val="en-US"/>
          <w14:ligatures w14:val="standardContextual"/>
        </w:rPr>
        <w:t xml:space="preserve">metal packaging, returned goods and re-imports. </w:t>
      </w:r>
      <w:r w:rsidR="00BC6953">
        <w:rPr>
          <w:rFonts w:ascii="Arial" w:hAnsi="Arial" w:cs="Arial"/>
          <w:szCs w:val="22"/>
          <w:lang w:val="en-US"/>
          <w14:ligatures w14:val="standardContextual"/>
        </w:rPr>
        <w:t xml:space="preserve"> </w:t>
      </w:r>
    </w:p>
    <w:p w14:paraId="050CEF53" w14:textId="77777777" w:rsidR="000C0309" w:rsidRDefault="000C0309" w:rsidP="000C0309">
      <w:pPr>
        <w:jc w:val="both"/>
        <w:rPr>
          <w:rFonts w:ascii="Arial" w:hAnsi="Arial" w:cs="Arial"/>
          <w:szCs w:val="22"/>
          <w:lang w:val="en-US"/>
          <w14:ligatures w14:val="standardContextual"/>
        </w:rPr>
      </w:pPr>
    </w:p>
    <w:p w14:paraId="675FD3F3" w14:textId="4D7EE0EF" w:rsidR="000C0309" w:rsidRPr="00D05239" w:rsidRDefault="000C0309" w:rsidP="000C0309">
      <w:pPr>
        <w:jc w:val="both"/>
        <w:rPr>
          <w:rFonts w:ascii="Calibri" w:hAnsi="Calibri" w:cs="Calibri"/>
          <w:szCs w:val="22"/>
          <w:lang w:val="en-US"/>
          <w14:ligatures w14:val="standardContextual"/>
        </w:rPr>
      </w:pPr>
    </w:p>
    <w:p w14:paraId="128D7A86" w14:textId="77777777" w:rsidR="00D05239" w:rsidRPr="00F418AB" w:rsidRDefault="00D05239" w:rsidP="00AF026D">
      <w:pPr>
        <w:ind w:right="-1"/>
        <w:jc w:val="both"/>
        <w:rPr>
          <w:rFonts w:ascii="Arial" w:hAnsi="Arial" w:cs="Arial"/>
          <w:szCs w:val="22"/>
          <w:lang w:val="en-US"/>
        </w:rPr>
      </w:pPr>
    </w:p>
    <w:sectPr w:rsidR="00D05239" w:rsidRPr="00F418AB" w:rsidSect="00C63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907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D753" w14:textId="77777777" w:rsidR="00F71F44" w:rsidRDefault="00F71F44">
      <w:r>
        <w:separator/>
      </w:r>
    </w:p>
  </w:endnote>
  <w:endnote w:type="continuationSeparator" w:id="0">
    <w:p w14:paraId="1E7ED793" w14:textId="77777777" w:rsidR="00F71F44" w:rsidRDefault="00F7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0F5F" w14:textId="77777777" w:rsidR="008157B0" w:rsidRDefault="00815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3EFE" w14:textId="77777777" w:rsidR="00CE17F8" w:rsidRPr="0086513A" w:rsidRDefault="00CE17F8" w:rsidP="0086513A">
    <w:pPr>
      <w:pStyle w:val="Footer"/>
      <w:tabs>
        <w:tab w:val="clear" w:pos="8306"/>
        <w:tab w:val="right" w:pos="8505"/>
      </w:tabs>
      <w:jc w:val="right"/>
      <w:rPr>
        <w:rFonts w:ascii="Arial" w:hAnsi="Arial" w:cs="Arial"/>
        <w:sz w:val="18"/>
        <w:szCs w:val="18"/>
      </w:rPr>
    </w:pPr>
    <w:r w:rsidRPr="0086513A">
      <w:rPr>
        <w:rStyle w:val="PageNumber"/>
        <w:rFonts w:ascii="Arial" w:hAnsi="Arial" w:cs="Arial"/>
        <w:sz w:val="18"/>
        <w:szCs w:val="18"/>
      </w:rPr>
      <w:fldChar w:fldCharType="begin"/>
    </w:r>
    <w:r w:rsidRPr="0086513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6513A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2</w:t>
    </w:r>
    <w:r w:rsidRPr="0086513A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C9A4" w14:textId="77777777" w:rsidR="00CE17F8" w:rsidRPr="00AD174A" w:rsidRDefault="00CE17F8" w:rsidP="00BF1238">
    <w:pPr>
      <w:pBdr>
        <w:top w:val="single" w:sz="4" w:space="1" w:color="auto"/>
      </w:pBdr>
      <w:tabs>
        <w:tab w:val="left" w:pos="787"/>
      </w:tabs>
      <w:spacing w:line="60" w:lineRule="exact"/>
      <w:ind w:left="-851" w:right="-852"/>
      <w:rPr>
        <w:rFonts w:ascii="Arial" w:hAnsi="Arial" w:cs="Arial"/>
        <w:color w:val="000000"/>
        <w:sz w:val="12"/>
      </w:rPr>
    </w:pPr>
    <w:r w:rsidRPr="00AD174A">
      <w:rPr>
        <w:rFonts w:ascii="Arial" w:hAnsi="Arial" w:cs="Arial"/>
        <w:color w:val="000000"/>
        <w:sz w:val="12"/>
      </w:rPr>
      <w:tab/>
    </w:r>
  </w:p>
  <w:p w14:paraId="55CAA225" w14:textId="77777777" w:rsidR="008157B0" w:rsidRPr="009F677E" w:rsidRDefault="008157B0" w:rsidP="008157B0">
    <w:pPr>
      <w:tabs>
        <w:tab w:val="center" w:pos="4253"/>
        <w:tab w:val="right" w:pos="9356"/>
      </w:tabs>
      <w:spacing w:before="120" w:line="160" w:lineRule="exact"/>
      <w:ind w:left="-851" w:right="-709"/>
      <w:rPr>
        <w:rFonts w:ascii="Arial" w:eastAsia="Times" w:hAnsi="Arial" w:cs="Arial"/>
        <w:b/>
        <w:color w:val="000000"/>
        <w:sz w:val="12"/>
        <w:lang w:val="fr-FR" w:eastAsia="fr-FR"/>
      </w:rPr>
    </w:pPr>
    <w:bookmarkStart w:id="0" w:name="_Hlk157310613"/>
    <w:bookmarkStart w:id="1" w:name="OLE_LINK2"/>
    <w:bookmarkStart w:id="2" w:name="OLE_LINK1"/>
    <w:r w:rsidRPr="009F677E">
      <w:rPr>
        <w:rFonts w:ascii="Arial" w:eastAsia="Times" w:hAnsi="Arial" w:cs="Arial"/>
        <w:color w:val="000000"/>
        <w:sz w:val="10"/>
        <w:szCs w:val="10"/>
        <w:lang w:val="fr-FR" w:eastAsia="fr-FR"/>
      </w:rPr>
      <w:t>AV. DE CORTENBERGH 168</w:t>
    </w:r>
    <w:r w:rsidRPr="009F677E">
      <w:rPr>
        <w:rFonts w:ascii="Arial" w:eastAsia="Times" w:hAnsi="Arial" w:cs="Arial"/>
        <w:sz w:val="10"/>
        <w:szCs w:val="10"/>
        <w:lang w:val="fr-FR" w:eastAsia="fr-FR"/>
      </w:rPr>
      <w:t xml:space="preserve">  </w:t>
    </w:r>
    <w:r w:rsidRPr="009F677E">
      <w:rPr>
        <w:rFonts w:ascii="Arial" w:eastAsia="Times" w:hAnsi="Arial" w:cs="Arial"/>
        <w:sz w:val="10"/>
        <w:szCs w:val="10"/>
        <w:lang w:val="fr-FR" w:eastAsia="fr-FR"/>
      </w:rPr>
      <w:tab/>
    </w:r>
    <w:r w:rsidRPr="009F677E">
      <w:rPr>
        <w:rFonts w:ascii="Arial" w:eastAsia="Times" w:hAnsi="Arial" w:cs="Arial"/>
        <w:b/>
        <w:color w:val="000000"/>
        <w:sz w:val="18"/>
        <w:szCs w:val="18"/>
        <w:lang w:val="fr-FR" w:eastAsia="fr-FR"/>
      </w:rPr>
      <w:t xml:space="preserve">BUSINESSEUROPE </w:t>
    </w:r>
    <w:r w:rsidRPr="009F677E">
      <w:rPr>
        <w:rFonts w:ascii="Arial" w:eastAsia="Times" w:hAnsi="Arial" w:cs="Arial"/>
        <w:color w:val="000000"/>
        <w:sz w:val="18"/>
        <w:szCs w:val="18"/>
        <w:lang w:val="fr-FR" w:eastAsia="fr-FR"/>
      </w:rPr>
      <w:t>a.i.s.b.l.</w:t>
    </w:r>
    <w:r w:rsidRPr="009F677E">
      <w:rPr>
        <w:rFonts w:ascii="Arial" w:eastAsia="Times" w:hAnsi="Arial" w:cs="Arial"/>
        <w:b/>
        <w:color w:val="000000"/>
        <w:sz w:val="12"/>
        <w:lang w:val="fr-FR" w:eastAsia="fr-FR"/>
      </w:rPr>
      <w:tab/>
    </w:r>
    <w:r w:rsidRPr="009F677E">
      <w:rPr>
        <w:rFonts w:ascii="Arial" w:eastAsia="Times" w:hAnsi="Arial" w:cs="Arial"/>
        <w:color w:val="000000"/>
        <w:sz w:val="10"/>
        <w:szCs w:val="10"/>
        <w:lang w:val="fr-FR" w:eastAsia="fr-FR"/>
      </w:rPr>
      <w:t>TEL +32(0)2 237 65 11</w:t>
    </w:r>
  </w:p>
  <w:p w14:paraId="59BB5229" w14:textId="77777777" w:rsidR="008157B0" w:rsidRPr="00E952CE" w:rsidRDefault="008157B0" w:rsidP="008157B0">
    <w:pPr>
      <w:tabs>
        <w:tab w:val="left" w:pos="6513"/>
        <w:tab w:val="right" w:pos="9356"/>
      </w:tabs>
      <w:spacing w:line="160" w:lineRule="exact"/>
      <w:ind w:left="-851" w:right="-710"/>
      <w:rPr>
        <w:rFonts w:ascii="Arial" w:eastAsia="Times" w:hAnsi="Arial" w:cs="Arial"/>
        <w:color w:val="000000"/>
        <w:sz w:val="10"/>
        <w:szCs w:val="10"/>
        <w:lang w:eastAsia="fr-FR"/>
      </w:rPr>
    </w:pPr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>BE-1000 BRUSSELS</w:t>
    </w:r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ab/>
    </w:r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ab/>
      <w:t>FAX +32(0)2 231 14 45</w:t>
    </w:r>
  </w:p>
  <w:p w14:paraId="024BDE3E" w14:textId="77777777" w:rsidR="008157B0" w:rsidRPr="00E952CE" w:rsidRDefault="008157B0" w:rsidP="008157B0">
    <w:pPr>
      <w:tabs>
        <w:tab w:val="center" w:pos="4253"/>
        <w:tab w:val="right" w:pos="9356"/>
      </w:tabs>
      <w:spacing w:line="160" w:lineRule="exact"/>
      <w:ind w:left="-851" w:right="-710"/>
      <w:rPr>
        <w:rFonts w:ascii="Arial" w:eastAsia="Times" w:hAnsi="Arial" w:cs="Arial"/>
        <w:color w:val="000000"/>
        <w:sz w:val="10"/>
        <w:szCs w:val="10"/>
        <w:lang w:eastAsia="fr-FR"/>
      </w:rPr>
    </w:pPr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>BELGIUM</w:t>
    </w:r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ab/>
    </w:r>
    <w:hyperlink r:id="rId1" w:history="1">
      <w:r w:rsidRPr="008157B0">
        <w:rPr>
          <w:rFonts w:ascii="Arial" w:eastAsia="Times" w:hAnsi="Arial" w:cs="Arial"/>
          <w:color w:val="004785"/>
          <w:sz w:val="10"/>
          <w:szCs w:val="10"/>
          <w:lang w:eastAsia="fr-FR"/>
        </w:rPr>
        <w:t>WWW.BUSINESSEUROPE.EU</w:t>
      </w:r>
    </w:hyperlink>
    <w:r w:rsidRPr="00E952CE">
      <w:rPr>
        <w:rFonts w:ascii="Arial" w:eastAsia="Times" w:hAnsi="Arial" w:cs="Arial"/>
        <w:color w:val="000000"/>
        <w:sz w:val="10"/>
        <w:szCs w:val="10"/>
        <w:lang w:eastAsia="fr-FR"/>
      </w:rPr>
      <w:tab/>
      <w:t xml:space="preserve">E-MAIL: </w:t>
    </w:r>
    <w:hyperlink r:id="rId2" w:history="1">
      <w:r w:rsidRPr="008157B0">
        <w:rPr>
          <w:rFonts w:ascii="Arial" w:eastAsia="Times" w:hAnsi="Arial" w:cs="Arial"/>
          <w:color w:val="004785"/>
          <w:sz w:val="10"/>
          <w:szCs w:val="10"/>
          <w:lang w:eastAsia="fr-FR"/>
        </w:rPr>
        <w:t>main@businesseurope.eu</w:t>
      </w:r>
    </w:hyperlink>
  </w:p>
  <w:p w14:paraId="3399A0DA" w14:textId="77777777" w:rsidR="008157B0" w:rsidRPr="008157B0" w:rsidRDefault="008157B0" w:rsidP="008157B0">
    <w:pPr>
      <w:tabs>
        <w:tab w:val="center" w:pos="4253"/>
        <w:tab w:val="right" w:pos="9356"/>
      </w:tabs>
      <w:spacing w:line="160" w:lineRule="exact"/>
      <w:ind w:left="-851" w:right="-710"/>
      <w:rPr>
        <w:rFonts w:ascii="Arial" w:eastAsia="Times" w:hAnsi="Arial" w:cs="Arial"/>
        <w:color w:val="000000"/>
        <w:sz w:val="10"/>
        <w:szCs w:val="10"/>
        <w:lang w:eastAsia="fr-FR"/>
      </w:rPr>
    </w:pPr>
    <w:r w:rsidRPr="008157B0">
      <w:rPr>
        <w:rFonts w:ascii="Arial" w:eastAsia="Times" w:hAnsi="Arial" w:cs="Arial"/>
        <w:color w:val="000000"/>
        <w:sz w:val="10"/>
        <w:szCs w:val="10"/>
        <w:lang w:eastAsia="fr-FR"/>
      </w:rPr>
      <w:t>VAT BE 863 418 279</w:t>
    </w:r>
    <w:bookmarkEnd w:id="0"/>
    <w:bookmarkEnd w:id="1"/>
    <w:bookmarkEnd w:id="2"/>
    <w:r w:rsidRPr="008157B0">
      <w:rPr>
        <w:rFonts w:ascii="Arial" w:eastAsia="Times" w:hAnsi="Arial" w:cs="Arial"/>
        <w:color w:val="000000"/>
        <w:sz w:val="10"/>
        <w:szCs w:val="10"/>
        <w:lang w:eastAsia="fr-FR"/>
      </w:rPr>
      <w:tab/>
      <w:t xml:space="preserve">Follow us on </w:t>
    </w:r>
    <w:hyperlink r:id="rId3" w:history="1">
      <w:r w:rsidR="00376230" w:rsidRPr="000A655B">
        <w:rPr>
          <w:rStyle w:val="Hyperlink"/>
          <w:rFonts w:ascii="Arial" w:hAnsi="Arial" w:cs="Arial"/>
          <w:color w:val="004785"/>
          <w:sz w:val="10"/>
          <w:szCs w:val="10"/>
          <w:u w:val="none"/>
        </w:rPr>
        <w:t>Twitter @BUSINESSEUROPE</w:t>
      </w:r>
    </w:hyperlink>
    <w:r w:rsidRPr="008157B0">
      <w:rPr>
        <w:rFonts w:ascii="Arial" w:eastAsia="Times" w:hAnsi="Arial" w:cs="Arial"/>
        <w:color w:val="000000"/>
        <w:sz w:val="10"/>
        <w:szCs w:val="10"/>
        <w:lang w:eastAsia="fr-FR"/>
      </w:rPr>
      <w:tab/>
      <w:t>EU Transparency register 3978240953-79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CA3C" w14:textId="77777777" w:rsidR="00F71F44" w:rsidRDefault="00F71F44">
      <w:r>
        <w:separator/>
      </w:r>
    </w:p>
  </w:footnote>
  <w:footnote w:type="continuationSeparator" w:id="0">
    <w:p w14:paraId="30D82EDC" w14:textId="77777777" w:rsidR="00F71F44" w:rsidRDefault="00F71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2FD8" w14:textId="77777777" w:rsidR="008157B0" w:rsidRDefault="00815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F7B" w14:textId="675C9B8C" w:rsidR="00CE17F8" w:rsidRPr="00ED1087" w:rsidRDefault="00F71F44" w:rsidP="0086513A">
    <w:pPr>
      <w:pStyle w:val="Header"/>
      <w:ind w:right="-852" w:hanging="142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53ABF63" wp14:editId="7342DE71">
          <wp:extent cx="1800225" cy="428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F9531" w14:textId="77777777" w:rsidR="00CE17F8" w:rsidRDefault="00CE17F8">
    <w:pPr>
      <w:pStyle w:val="Header"/>
      <w:jc w:val="right"/>
    </w:pPr>
  </w:p>
  <w:p w14:paraId="3D6B34AB" w14:textId="77777777" w:rsidR="00CE17F8" w:rsidRDefault="00CE1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1C7B" w14:textId="4C6A30B7" w:rsidR="00CE17F8" w:rsidRDefault="00F71F44" w:rsidP="001F79BB">
    <w:pPr>
      <w:pStyle w:val="Header"/>
      <w:ind w:hanging="142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9CCD9A2" wp14:editId="78AE2910">
          <wp:extent cx="2266950" cy="5429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05F9E" w14:textId="77777777" w:rsidR="00CE17F8" w:rsidRPr="00062959" w:rsidRDefault="00CE17F8" w:rsidP="001F79BB">
    <w:pPr>
      <w:pStyle w:val="Header"/>
      <w:ind w:left="-28"/>
      <w:jc w:val="both"/>
      <w:rPr>
        <w:color w:val="6C9AC3"/>
        <w:sz w:val="28"/>
        <w:szCs w:val="28"/>
        <w:lang w:val="fr-FR"/>
      </w:rPr>
    </w:pPr>
    <w:r>
      <w:rPr>
        <w:rFonts w:ascii="Arial" w:hAnsi="Arial" w:cs="Arial"/>
        <w:b/>
        <w:color w:val="6C9AC3"/>
        <w:sz w:val="28"/>
        <w:szCs w:val="28"/>
        <w:lang w:val="fr-FR"/>
      </w:rPr>
      <w:t>NOTE</w:t>
    </w:r>
  </w:p>
  <w:p w14:paraId="22210E70" w14:textId="77777777" w:rsidR="00CE17F8" w:rsidRPr="001F79BB" w:rsidRDefault="00CE17F8" w:rsidP="00E2273F">
    <w:pPr>
      <w:pStyle w:val="Header"/>
      <w:tabs>
        <w:tab w:val="clear" w:pos="4153"/>
      </w:tabs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D0A6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645A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911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C6505"/>
    <w:multiLevelType w:val="hybridMultilevel"/>
    <w:tmpl w:val="8E68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623F"/>
    <w:multiLevelType w:val="hybridMultilevel"/>
    <w:tmpl w:val="BF549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34BB"/>
    <w:multiLevelType w:val="hybridMultilevel"/>
    <w:tmpl w:val="50009A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A282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D4C6EC6"/>
    <w:multiLevelType w:val="hybridMultilevel"/>
    <w:tmpl w:val="EA5C4DD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B80CC3"/>
    <w:multiLevelType w:val="hybridMultilevel"/>
    <w:tmpl w:val="0100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1F7"/>
    <w:multiLevelType w:val="hybridMultilevel"/>
    <w:tmpl w:val="1682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01A3C"/>
    <w:multiLevelType w:val="hybridMultilevel"/>
    <w:tmpl w:val="4D34367A"/>
    <w:lvl w:ilvl="0" w:tplc="74CC5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62B16"/>
    <w:multiLevelType w:val="hybridMultilevel"/>
    <w:tmpl w:val="6D58408E"/>
    <w:lvl w:ilvl="0" w:tplc="0DDE5B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77F70"/>
    <w:multiLevelType w:val="hybridMultilevel"/>
    <w:tmpl w:val="E076D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379"/>
    <w:multiLevelType w:val="singleLevel"/>
    <w:tmpl w:val="3EE89B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597C2A2B"/>
    <w:multiLevelType w:val="hybridMultilevel"/>
    <w:tmpl w:val="A6A4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E13"/>
    <w:multiLevelType w:val="hybridMultilevel"/>
    <w:tmpl w:val="832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278D2"/>
    <w:multiLevelType w:val="hybridMultilevel"/>
    <w:tmpl w:val="1E26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65AD5"/>
    <w:multiLevelType w:val="hybridMultilevel"/>
    <w:tmpl w:val="EE06EF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46107211">
    <w:abstractNumId w:val="2"/>
  </w:num>
  <w:num w:numId="2" w16cid:durableId="1161433105">
    <w:abstractNumId w:val="6"/>
  </w:num>
  <w:num w:numId="3" w16cid:durableId="1505126009">
    <w:abstractNumId w:val="13"/>
  </w:num>
  <w:num w:numId="4" w16cid:durableId="6131016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989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3122701">
    <w:abstractNumId w:val="4"/>
  </w:num>
  <w:num w:numId="7" w16cid:durableId="1496267493">
    <w:abstractNumId w:val="8"/>
  </w:num>
  <w:num w:numId="8" w16cid:durableId="1220628339">
    <w:abstractNumId w:val="9"/>
  </w:num>
  <w:num w:numId="9" w16cid:durableId="227959037">
    <w:abstractNumId w:val="5"/>
  </w:num>
  <w:num w:numId="10" w16cid:durableId="1289429573">
    <w:abstractNumId w:val="0"/>
  </w:num>
  <w:num w:numId="11" w16cid:durableId="1909874701">
    <w:abstractNumId w:val="1"/>
  </w:num>
  <w:num w:numId="12" w16cid:durableId="144008247">
    <w:abstractNumId w:val="14"/>
  </w:num>
  <w:num w:numId="13" w16cid:durableId="1814758024">
    <w:abstractNumId w:val="15"/>
  </w:num>
  <w:num w:numId="14" w16cid:durableId="78604101">
    <w:abstractNumId w:val="3"/>
  </w:num>
  <w:num w:numId="15" w16cid:durableId="788092148">
    <w:abstractNumId w:val="16"/>
  </w:num>
  <w:num w:numId="16" w16cid:durableId="1895001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1139429">
    <w:abstractNumId w:val="17"/>
  </w:num>
  <w:num w:numId="18" w16cid:durableId="1982688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44"/>
    <w:rsid w:val="00023B7D"/>
    <w:rsid w:val="00024D91"/>
    <w:rsid w:val="00062959"/>
    <w:rsid w:val="00074D61"/>
    <w:rsid w:val="00077F01"/>
    <w:rsid w:val="000B3177"/>
    <w:rsid w:val="000C0309"/>
    <w:rsid w:val="000E73BA"/>
    <w:rsid w:val="001032B1"/>
    <w:rsid w:val="00105CF9"/>
    <w:rsid w:val="00130242"/>
    <w:rsid w:val="00166079"/>
    <w:rsid w:val="001A1701"/>
    <w:rsid w:val="001A61DF"/>
    <w:rsid w:val="001A662E"/>
    <w:rsid w:val="001B0650"/>
    <w:rsid w:val="001D7F4A"/>
    <w:rsid w:val="001F26D9"/>
    <w:rsid w:val="001F79BB"/>
    <w:rsid w:val="0021383E"/>
    <w:rsid w:val="00271FE2"/>
    <w:rsid w:val="00273E37"/>
    <w:rsid w:val="00280FFE"/>
    <w:rsid w:val="00282EE6"/>
    <w:rsid w:val="003031EC"/>
    <w:rsid w:val="00321C0B"/>
    <w:rsid w:val="00342459"/>
    <w:rsid w:val="00350246"/>
    <w:rsid w:val="00376230"/>
    <w:rsid w:val="003A208E"/>
    <w:rsid w:val="003D0391"/>
    <w:rsid w:val="003E0280"/>
    <w:rsid w:val="0045631C"/>
    <w:rsid w:val="004E4354"/>
    <w:rsid w:val="0050433C"/>
    <w:rsid w:val="005166CD"/>
    <w:rsid w:val="00533F93"/>
    <w:rsid w:val="0057526A"/>
    <w:rsid w:val="005B0622"/>
    <w:rsid w:val="005B2706"/>
    <w:rsid w:val="005D79CF"/>
    <w:rsid w:val="005F793F"/>
    <w:rsid w:val="006153B1"/>
    <w:rsid w:val="00631CBD"/>
    <w:rsid w:val="006426C4"/>
    <w:rsid w:val="00650BEA"/>
    <w:rsid w:val="00654B1D"/>
    <w:rsid w:val="006677EC"/>
    <w:rsid w:val="006D1DCF"/>
    <w:rsid w:val="006D45C0"/>
    <w:rsid w:val="006E0EC9"/>
    <w:rsid w:val="00714993"/>
    <w:rsid w:val="007654B8"/>
    <w:rsid w:val="00777448"/>
    <w:rsid w:val="007B29B3"/>
    <w:rsid w:val="007B4CF9"/>
    <w:rsid w:val="007C480D"/>
    <w:rsid w:val="007C4922"/>
    <w:rsid w:val="007D1D6F"/>
    <w:rsid w:val="007F4316"/>
    <w:rsid w:val="008157B0"/>
    <w:rsid w:val="00856977"/>
    <w:rsid w:val="0086513A"/>
    <w:rsid w:val="00874B54"/>
    <w:rsid w:val="00886A53"/>
    <w:rsid w:val="00900327"/>
    <w:rsid w:val="00903533"/>
    <w:rsid w:val="00965897"/>
    <w:rsid w:val="00966DB7"/>
    <w:rsid w:val="00993959"/>
    <w:rsid w:val="009A690C"/>
    <w:rsid w:val="009A6C79"/>
    <w:rsid w:val="009C5DDD"/>
    <w:rsid w:val="009D0242"/>
    <w:rsid w:val="009D030D"/>
    <w:rsid w:val="009F3502"/>
    <w:rsid w:val="009F677E"/>
    <w:rsid w:val="00A351AE"/>
    <w:rsid w:val="00A3607B"/>
    <w:rsid w:val="00A9470A"/>
    <w:rsid w:val="00AC0261"/>
    <w:rsid w:val="00AE387D"/>
    <w:rsid w:val="00AF026D"/>
    <w:rsid w:val="00B345AF"/>
    <w:rsid w:val="00B34790"/>
    <w:rsid w:val="00BA2590"/>
    <w:rsid w:val="00BB193A"/>
    <w:rsid w:val="00BC6953"/>
    <w:rsid w:val="00BE7D5A"/>
    <w:rsid w:val="00BF1238"/>
    <w:rsid w:val="00BF2F69"/>
    <w:rsid w:val="00C322A3"/>
    <w:rsid w:val="00C330B9"/>
    <w:rsid w:val="00C6303C"/>
    <w:rsid w:val="00C940DE"/>
    <w:rsid w:val="00CC26B0"/>
    <w:rsid w:val="00CE17F8"/>
    <w:rsid w:val="00D05239"/>
    <w:rsid w:val="00D201F7"/>
    <w:rsid w:val="00D567EA"/>
    <w:rsid w:val="00DB495F"/>
    <w:rsid w:val="00E15C03"/>
    <w:rsid w:val="00E17372"/>
    <w:rsid w:val="00E2273F"/>
    <w:rsid w:val="00E62B7B"/>
    <w:rsid w:val="00E747BF"/>
    <w:rsid w:val="00E757FE"/>
    <w:rsid w:val="00E8257F"/>
    <w:rsid w:val="00E8651F"/>
    <w:rsid w:val="00E952CE"/>
    <w:rsid w:val="00EA056E"/>
    <w:rsid w:val="00EC2872"/>
    <w:rsid w:val="00ED1087"/>
    <w:rsid w:val="00EF7E9A"/>
    <w:rsid w:val="00F04FD1"/>
    <w:rsid w:val="00F111A1"/>
    <w:rsid w:val="00F24E7F"/>
    <w:rsid w:val="00F418AB"/>
    <w:rsid w:val="00F6156B"/>
    <w:rsid w:val="00F71F44"/>
    <w:rsid w:val="00F9300A"/>
    <w:rsid w:val="00FA2C6A"/>
    <w:rsid w:val="00FB42CF"/>
    <w:rsid w:val="00FC5D1C"/>
    <w:rsid w:val="00FD519C"/>
    <w:rsid w:val="00FF5494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CC0B"/>
  <w15:docId w15:val="{E2BD038A-0C10-4AA3-8A35-E2638F5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959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mallCap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Codes">
    <w:name w:val="AddressCodes"/>
    <w:basedOn w:val="Normal"/>
    <w:pPr>
      <w:framePr w:w="8505" w:h="1985" w:hSpace="181" w:wrap="around" w:vAnchor="page" w:hAnchor="page" w:x="5954" w:y="2382"/>
      <w:tabs>
        <w:tab w:val="left" w:pos="4820"/>
      </w:tabs>
      <w:jc w:val="both"/>
    </w:pPr>
    <w:rPr>
      <w:noProof/>
    </w:rPr>
  </w:style>
  <w:style w:type="paragraph" w:styleId="BalloonText">
    <w:name w:val="Balloon Text"/>
    <w:basedOn w:val="Normal"/>
    <w:semiHidden/>
    <w:rsid w:val="00A36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C0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69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69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A69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6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690C"/>
    <w:rPr>
      <w:b/>
      <w:bCs/>
      <w:lang w:val="en-GB" w:eastAsia="en-US"/>
    </w:rPr>
  </w:style>
  <w:style w:type="paragraph" w:customStyle="1" w:styleId="Default">
    <w:name w:val="Default"/>
    <w:rsid w:val="00282EE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businesseurope" TargetMode="External"/><Relationship Id="rId2" Type="http://schemas.openxmlformats.org/officeDocument/2006/relationships/hyperlink" Target="mailto:main@businesseurope.eu" TargetMode="External"/><Relationship Id="rId1" Type="http://schemas.openxmlformats.org/officeDocument/2006/relationships/hyperlink" Target="http://WWW.BUSINESSEUROP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be-file01\files\Standard\Templates\COURRIER-EMAIL\Note%20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46407-C11A-46E1-BED8-7F9725C7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EN.dotx</Template>
  <TotalTime>7</TotalTime>
  <Pages>2</Pages>
  <Words>486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BUSINESSEUROPE</Company>
  <LinksUpToDate>false</LinksUpToDate>
  <CharactersWithSpaces>3131</CharactersWithSpaces>
  <SharedDoc>false</SharedDoc>
  <HLinks>
    <vt:vector size="6" baseType="variant">
      <vt:variant>
        <vt:i4>1769536</vt:i4>
      </vt:variant>
      <vt:variant>
        <vt:i4>3</vt:i4>
      </vt:variant>
      <vt:variant>
        <vt:i4>0</vt:i4>
      </vt:variant>
      <vt:variant>
        <vt:i4>5</vt:i4>
      </vt:variant>
      <vt:variant>
        <vt:lpwstr>http://www.businesseurope.eu/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Administrator</dc:creator>
  <cp:keywords/>
  <dc:description/>
  <cp:lastModifiedBy>Bournou Sofia</cp:lastModifiedBy>
  <cp:revision>4</cp:revision>
  <cp:lastPrinted>2007-01-23T10:57:00Z</cp:lastPrinted>
  <dcterms:created xsi:type="dcterms:W3CDTF">2023-09-12T14:41:00Z</dcterms:created>
  <dcterms:modified xsi:type="dcterms:W3CDTF">2023-09-12T14:46:00Z</dcterms:modified>
</cp:coreProperties>
</file>