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A6C35" w14:textId="44ED27F8" w:rsidR="006A1CD1" w:rsidRPr="002C12A2" w:rsidRDefault="006A1CD1" w:rsidP="006A1CD1">
      <w:pPr>
        <w:jc w:val="center"/>
        <w:rPr>
          <w:rFonts w:ascii="Arial" w:hAnsi="Arial" w:cs="Arial"/>
          <w:b/>
          <w:bCs/>
          <w:color w:val="FF0000"/>
        </w:rPr>
      </w:pPr>
      <w:r w:rsidRPr="002C12A2">
        <w:rPr>
          <w:rFonts w:ascii="Arial" w:hAnsi="Arial" w:cs="Arial"/>
          <w:b/>
          <w:bCs/>
          <w:color w:val="FF0000"/>
        </w:rPr>
        <w:t xml:space="preserve">Newsletter – </w:t>
      </w:r>
      <w:r w:rsidR="00D51310" w:rsidRPr="002C12A2">
        <w:rPr>
          <w:rFonts w:ascii="Arial" w:hAnsi="Arial" w:cs="Arial"/>
          <w:b/>
          <w:bCs/>
          <w:color w:val="FF0000"/>
        </w:rPr>
        <w:t xml:space="preserve">Marzo 2024 </w:t>
      </w:r>
      <w:r w:rsidRPr="002C12A2">
        <w:rPr>
          <w:rFonts w:ascii="Arial" w:hAnsi="Arial" w:cs="Arial"/>
          <w:b/>
          <w:bCs/>
          <w:color w:val="FF0000"/>
        </w:rPr>
        <w:t xml:space="preserve"> </w:t>
      </w:r>
    </w:p>
    <w:p w14:paraId="2F2A7C9E" w14:textId="77777777" w:rsidR="006A1CD1" w:rsidRPr="00860165" w:rsidRDefault="006A1CD1" w:rsidP="006A1CD1">
      <w:pPr>
        <w:jc w:val="center"/>
        <w:rPr>
          <w:rFonts w:ascii="Arial" w:hAnsi="Arial" w:cs="Arial"/>
          <w:b/>
          <w:bCs/>
          <w:color w:val="FF0000"/>
        </w:rPr>
      </w:pPr>
    </w:p>
    <w:p w14:paraId="1B887748" w14:textId="74553E82" w:rsidR="00215DAA" w:rsidRDefault="006A1CD1" w:rsidP="006A1CD1">
      <w:pPr>
        <w:jc w:val="center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  <w:r w:rsidRPr="009A63D0">
        <w:rPr>
          <w:rFonts w:ascii="Arial" w:hAnsi="Arial" w:cs="Arial"/>
          <w:b/>
          <w:bCs/>
        </w:rPr>
        <w:t>Informativa sulle attività della Commissione Tecnica Responsabilità Sociale delle Organizzazioni (RSO) di UN</w:t>
      </w:r>
      <w:r>
        <w:rPr>
          <w:rFonts w:ascii="Arial" w:hAnsi="Arial" w:cs="Arial"/>
          <w:b/>
          <w:bCs/>
        </w:rPr>
        <w:t>I</w:t>
      </w:r>
    </w:p>
    <w:p w14:paraId="5F876B02" w14:textId="77777777" w:rsidR="00D928DD" w:rsidRDefault="00D928DD" w:rsidP="00D928DD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</w:p>
    <w:p w14:paraId="69211E97" w14:textId="77777777" w:rsidR="00D928DD" w:rsidRDefault="00D928DD" w:rsidP="00D928DD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14:ligatures w14:val="none"/>
        </w:rPr>
        <w:t xml:space="preserve">1. Linee Guida ISO per la promozione e l’attuazione della parità di genere </w:t>
      </w:r>
    </w:p>
    <w:p w14:paraId="5891D154" w14:textId="174E09AC" w:rsidR="003F6980" w:rsidRDefault="00D928DD" w:rsidP="00D40D86">
      <w:pPr>
        <w:pStyle w:val="NormaleWeb"/>
        <w:shd w:val="clear" w:color="auto" w:fill="FFFFFF"/>
        <w:spacing w:line="0" w:lineRule="atLeast"/>
        <w:jc w:val="both"/>
        <w:rPr>
          <w:rFonts w:ascii="Arial" w:hAnsi="Arial" w:cs="Arial"/>
        </w:rPr>
      </w:pPr>
      <w:r w:rsidRPr="00D415AE">
        <w:rPr>
          <w:rFonts w:ascii="Arial" w:hAnsi="Arial" w:cs="Arial"/>
        </w:rPr>
        <w:t>Si avvia a conclusione</w:t>
      </w:r>
      <w:r w:rsidR="00D415AE" w:rsidRPr="00D415AE">
        <w:rPr>
          <w:rFonts w:ascii="Arial" w:hAnsi="Arial" w:cs="Arial"/>
        </w:rPr>
        <w:t xml:space="preserve">, con il voto in scadenza il 6 aprile </w:t>
      </w:r>
      <w:r w:rsidR="00D415AE">
        <w:rPr>
          <w:rFonts w:ascii="Arial" w:hAnsi="Arial" w:cs="Arial"/>
        </w:rPr>
        <w:t>2024</w:t>
      </w:r>
      <w:r w:rsidR="00D415AE" w:rsidRPr="00D415AE">
        <w:rPr>
          <w:rFonts w:ascii="Arial" w:hAnsi="Arial" w:cs="Arial"/>
        </w:rPr>
        <w:t xml:space="preserve">, </w:t>
      </w:r>
      <w:r w:rsidRPr="00D415AE">
        <w:rPr>
          <w:rFonts w:ascii="Arial" w:hAnsi="Arial" w:cs="Arial"/>
        </w:rPr>
        <w:t>l’iter di approvazione della bozza finale di linee guida ISO per la promozione e l’attuazione della parità di genere (</w:t>
      </w:r>
      <w:proofErr w:type="spellStart"/>
      <w:r w:rsidRPr="00D415AE">
        <w:rPr>
          <w:rFonts w:ascii="Arial" w:hAnsi="Arial" w:cs="Arial"/>
          <w:i/>
          <w:iCs/>
        </w:rPr>
        <w:t>Guidelines</w:t>
      </w:r>
      <w:proofErr w:type="spellEnd"/>
      <w:r w:rsidRPr="00D415AE">
        <w:rPr>
          <w:rFonts w:ascii="Arial" w:hAnsi="Arial" w:cs="Arial"/>
          <w:i/>
          <w:iCs/>
        </w:rPr>
        <w:t xml:space="preserve"> for the promotion and </w:t>
      </w:r>
      <w:proofErr w:type="spellStart"/>
      <w:r w:rsidRPr="00D415AE">
        <w:rPr>
          <w:rFonts w:ascii="Arial" w:hAnsi="Arial" w:cs="Arial"/>
          <w:i/>
          <w:iCs/>
        </w:rPr>
        <w:t>implementation</w:t>
      </w:r>
      <w:proofErr w:type="spellEnd"/>
      <w:r w:rsidRPr="00D415AE">
        <w:rPr>
          <w:rFonts w:ascii="Arial" w:hAnsi="Arial" w:cs="Arial"/>
          <w:i/>
          <w:iCs/>
        </w:rPr>
        <w:t xml:space="preserve"> of gender equality and </w:t>
      </w:r>
      <w:proofErr w:type="spellStart"/>
      <w:r w:rsidRPr="00D415AE">
        <w:rPr>
          <w:rFonts w:ascii="Arial" w:hAnsi="Arial" w:cs="Arial"/>
          <w:i/>
          <w:iCs/>
        </w:rPr>
        <w:t>women’s</w:t>
      </w:r>
      <w:proofErr w:type="spellEnd"/>
      <w:r w:rsidRPr="00D415AE">
        <w:rPr>
          <w:rFonts w:ascii="Arial" w:hAnsi="Arial" w:cs="Arial"/>
          <w:i/>
          <w:iCs/>
        </w:rPr>
        <w:t xml:space="preserve"> empowerment – </w:t>
      </w:r>
      <w:r w:rsidRPr="00D415AE">
        <w:rPr>
          <w:rFonts w:ascii="Arial" w:hAnsi="Arial" w:cs="Arial"/>
        </w:rPr>
        <w:t xml:space="preserve">documento ISO 53800 – FDIS – </w:t>
      </w:r>
      <w:proofErr w:type="spellStart"/>
      <w:r w:rsidRPr="00D415AE">
        <w:rPr>
          <w:rFonts w:ascii="Arial" w:hAnsi="Arial" w:cs="Arial"/>
          <w:i/>
          <w:iCs/>
        </w:rPr>
        <w:t>Final</w:t>
      </w:r>
      <w:proofErr w:type="spellEnd"/>
      <w:r w:rsidRPr="00D415AE">
        <w:rPr>
          <w:rFonts w:ascii="Arial" w:hAnsi="Arial" w:cs="Arial"/>
          <w:i/>
          <w:iCs/>
        </w:rPr>
        <w:t xml:space="preserve"> Draft International Standard</w:t>
      </w:r>
      <w:r w:rsidRPr="00D415AE">
        <w:rPr>
          <w:rFonts w:ascii="Arial" w:hAnsi="Arial" w:cs="Arial"/>
        </w:rPr>
        <w:t>).</w:t>
      </w:r>
      <w:r w:rsidR="005B6F37" w:rsidRPr="00D415AE">
        <w:rPr>
          <w:rFonts w:ascii="Arial" w:hAnsi="Arial" w:cs="Arial"/>
        </w:rPr>
        <w:t xml:space="preserve"> </w:t>
      </w:r>
    </w:p>
    <w:p w14:paraId="5D7F9E2C" w14:textId="77777777" w:rsidR="003F6980" w:rsidRDefault="003F6980" w:rsidP="00D40D86">
      <w:pPr>
        <w:pStyle w:val="NormaleWeb"/>
        <w:shd w:val="clear" w:color="auto" w:fill="FFFFFF"/>
        <w:spacing w:line="0" w:lineRule="atLeast"/>
        <w:jc w:val="both"/>
        <w:rPr>
          <w:rFonts w:ascii="Arial" w:hAnsi="Arial" w:cs="Arial"/>
        </w:rPr>
      </w:pPr>
    </w:p>
    <w:p w14:paraId="7FFDE2FE" w14:textId="6D186FA2" w:rsidR="00D928DD" w:rsidRPr="00D415AE" w:rsidRDefault="00D928DD" w:rsidP="00D40D86">
      <w:pPr>
        <w:pStyle w:val="NormaleWeb"/>
        <w:shd w:val="clear" w:color="auto" w:fill="FFFFFF"/>
        <w:spacing w:line="0" w:lineRule="atLeast"/>
        <w:jc w:val="both"/>
        <w:rPr>
          <w:rFonts w:ascii="Arial" w:hAnsi="Arial" w:cs="Arial"/>
        </w:rPr>
      </w:pPr>
      <w:r w:rsidRPr="00D415AE">
        <w:rPr>
          <w:rFonts w:ascii="Arial" w:hAnsi="Arial" w:cs="Arial"/>
        </w:rPr>
        <w:t xml:space="preserve">Il documento ha ricevuto dagli enti nazionali di normazione coinvolti nel processo redazionale numerosissimi commenti e proposte di modifica alla originaria formulazione, </w:t>
      </w:r>
      <w:r w:rsidR="00B754D7">
        <w:rPr>
          <w:rFonts w:ascii="Arial" w:hAnsi="Arial" w:cs="Arial"/>
        </w:rPr>
        <w:t>fino all’attuale bozza finale (FDIS).</w:t>
      </w:r>
    </w:p>
    <w:p w14:paraId="30D5572B" w14:textId="77777777" w:rsidR="003C7A68" w:rsidRPr="00D51310" w:rsidRDefault="003C7A68" w:rsidP="00D928DD">
      <w:pPr>
        <w:pStyle w:val="NormaleWeb"/>
        <w:shd w:val="clear" w:color="auto" w:fill="FFFFFF"/>
        <w:jc w:val="both"/>
        <w:rPr>
          <w:rFonts w:ascii="Arial" w:hAnsi="Arial" w:cs="Arial"/>
          <w:color w:val="FF0000"/>
        </w:rPr>
      </w:pPr>
    </w:p>
    <w:p w14:paraId="295647CF" w14:textId="2D7B79C2" w:rsidR="009E066B" w:rsidRPr="005E451A" w:rsidRDefault="00D928DD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  <w:r w:rsidRPr="005E451A">
        <w:rPr>
          <w:rFonts w:ascii="Arial" w:hAnsi="Arial" w:cs="Arial"/>
          <w:kern w:val="0"/>
          <w14:ligatures w14:val="none"/>
        </w:rPr>
        <w:t>Per un approfondimento sulle criticità</w:t>
      </w:r>
      <w:r w:rsidR="005E451A" w:rsidRPr="005E451A">
        <w:rPr>
          <w:rFonts w:ascii="Arial" w:hAnsi="Arial" w:cs="Arial"/>
          <w:kern w:val="0"/>
          <w14:ligatures w14:val="none"/>
        </w:rPr>
        <w:t xml:space="preserve"> che abbiamo rilevato,</w:t>
      </w:r>
      <w:r w:rsidR="005E451A">
        <w:rPr>
          <w:rFonts w:ascii="Arial" w:hAnsi="Arial" w:cs="Arial"/>
          <w:kern w:val="0"/>
          <w14:ligatures w14:val="none"/>
        </w:rPr>
        <w:t xml:space="preserve"> sin dall’inizio </w:t>
      </w:r>
      <w:r w:rsidR="003E6B31">
        <w:rPr>
          <w:rFonts w:ascii="Arial" w:hAnsi="Arial" w:cs="Arial"/>
          <w:kern w:val="0"/>
          <w14:ligatures w14:val="none"/>
        </w:rPr>
        <w:t>dell’</w:t>
      </w:r>
      <w:r w:rsidR="005E451A">
        <w:rPr>
          <w:rFonts w:ascii="Arial" w:hAnsi="Arial" w:cs="Arial"/>
          <w:kern w:val="0"/>
          <w14:ligatures w14:val="none"/>
        </w:rPr>
        <w:t>iter,</w:t>
      </w:r>
      <w:r w:rsidR="005E451A" w:rsidRPr="005E451A">
        <w:rPr>
          <w:rFonts w:ascii="Arial" w:hAnsi="Arial" w:cs="Arial"/>
          <w:kern w:val="0"/>
          <w14:ligatures w14:val="none"/>
        </w:rPr>
        <w:t xml:space="preserve"> sia sull’impianto che sui contenuti del </w:t>
      </w:r>
      <w:r w:rsidRPr="005E451A">
        <w:rPr>
          <w:rFonts w:ascii="Arial" w:hAnsi="Arial" w:cs="Arial"/>
          <w:kern w:val="0"/>
          <w14:ligatures w14:val="none"/>
        </w:rPr>
        <w:t>documento, si fa rinvio alle nostre precedenti Newsletter.</w:t>
      </w:r>
      <w:r w:rsidR="005B6F37" w:rsidRPr="005E451A">
        <w:rPr>
          <w:rFonts w:ascii="Arial" w:hAnsi="Arial" w:cs="Arial"/>
          <w:kern w:val="0"/>
          <w14:ligatures w14:val="none"/>
        </w:rPr>
        <w:t xml:space="preserve"> </w:t>
      </w:r>
    </w:p>
    <w:p w14:paraId="08F117A2" w14:textId="77777777" w:rsidR="005E451A" w:rsidRPr="00D51310" w:rsidRDefault="005E451A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color w:val="FF0000"/>
          <w:kern w:val="0"/>
          <w14:ligatures w14:val="none"/>
        </w:rPr>
      </w:pPr>
    </w:p>
    <w:p w14:paraId="61DEFC39" w14:textId="2656823B" w:rsidR="003E6B31" w:rsidRDefault="00D928DD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  <w:r w:rsidRPr="005E451A">
        <w:rPr>
          <w:rFonts w:ascii="Arial" w:hAnsi="Arial" w:cs="Arial"/>
          <w:kern w:val="0"/>
          <w14:ligatures w14:val="none"/>
        </w:rPr>
        <w:t>L’UNI, in considerazione dei voti negativi espressi in fase DIS da Confindustria, Assolombarda e Unione Industriali di Torino e dalla condivisa, contestuale “ferma opposizione” al documento, ha espresso</w:t>
      </w:r>
      <w:r w:rsidR="005E451A">
        <w:rPr>
          <w:rFonts w:ascii="Arial" w:hAnsi="Arial" w:cs="Arial"/>
          <w:kern w:val="0"/>
          <w14:ligatures w14:val="none"/>
        </w:rPr>
        <w:t>, nella precedente fase</w:t>
      </w:r>
      <w:r w:rsidR="009E14E7">
        <w:rPr>
          <w:rFonts w:ascii="Arial" w:hAnsi="Arial" w:cs="Arial"/>
          <w:kern w:val="0"/>
          <w14:ligatures w14:val="none"/>
        </w:rPr>
        <w:t xml:space="preserve"> (DIS)</w:t>
      </w:r>
      <w:r w:rsidR="005E451A">
        <w:rPr>
          <w:rFonts w:ascii="Arial" w:hAnsi="Arial" w:cs="Arial"/>
          <w:kern w:val="0"/>
          <w14:ligatures w14:val="none"/>
        </w:rPr>
        <w:t xml:space="preserve">, </w:t>
      </w:r>
      <w:r w:rsidRPr="005E451A">
        <w:rPr>
          <w:rFonts w:ascii="Arial" w:hAnsi="Arial" w:cs="Arial"/>
          <w:kern w:val="0"/>
          <w14:ligatures w14:val="none"/>
        </w:rPr>
        <w:t>il voto di astensione per mancanza di consenso all’interno della Commissione</w:t>
      </w:r>
      <w:r w:rsidR="008921A8">
        <w:rPr>
          <w:rFonts w:ascii="Arial" w:hAnsi="Arial" w:cs="Arial"/>
          <w:kern w:val="0"/>
          <w14:ligatures w14:val="none"/>
        </w:rPr>
        <w:t xml:space="preserve"> RSO</w:t>
      </w:r>
      <w:r w:rsidRPr="005E451A">
        <w:rPr>
          <w:rFonts w:ascii="Arial" w:hAnsi="Arial" w:cs="Arial"/>
          <w:kern w:val="0"/>
          <w14:ligatures w14:val="none"/>
        </w:rPr>
        <w:t>.</w:t>
      </w:r>
      <w:r w:rsidR="005E451A">
        <w:rPr>
          <w:rFonts w:ascii="Arial" w:hAnsi="Arial" w:cs="Arial"/>
          <w:kern w:val="0"/>
          <w14:ligatures w14:val="none"/>
        </w:rPr>
        <w:t xml:space="preserve"> </w:t>
      </w:r>
    </w:p>
    <w:p w14:paraId="1DF29919" w14:textId="77777777" w:rsidR="003E6B31" w:rsidRDefault="003E6B31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</w:p>
    <w:p w14:paraId="151B6CF8" w14:textId="40FD28D9" w:rsidR="002B226E" w:rsidRDefault="003E6B31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Il voto negativo, accompagnato dalla “ferma opposizione”, </w:t>
      </w:r>
      <w:r w:rsidR="005E451A">
        <w:rPr>
          <w:rFonts w:ascii="Arial" w:hAnsi="Arial" w:cs="Arial"/>
          <w:kern w:val="0"/>
          <w14:ligatures w14:val="none"/>
        </w:rPr>
        <w:t xml:space="preserve">sarà </w:t>
      </w:r>
      <w:r w:rsidR="002B226E">
        <w:rPr>
          <w:rFonts w:ascii="Arial" w:hAnsi="Arial" w:cs="Arial"/>
          <w:kern w:val="0"/>
          <w14:ligatures w14:val="none"/>
        </w:rPr>
        <w:t xml:space="preserve">da noi </w:t>
      </w:r>
      <w:r>
        <w:rPr>
          <w:rFonts w:ascii="Arial" w:hAnsi="Arial" w:cs="Arial"/>
          <w:kern w:val="0"/>
          <w14:ligatures w14:val="none"/>
        </w:rPr>
        <w:t>ri</w:t>
      </w:r>
      <w:r w:rsidR="005E451A">
        <w:rPr>
          <w:rFonts w:ascii="Arial" w:hAnsi="Arial" w:cs="Arial"/>
          <w:kern w:val="0"/>
          <w14:ligatures w14:val="none"/>
        </w:rPr>
        <w:t>confermat</w:t>
      </w:r>
      <w:r>
        <w:rPr>
          <w:rFonts w:ascii="Arial" w:hAnsi="Arial" w:cs="Arial"/>
          <w:kern w:val="0"/>
          <w14:ligatures w14:val="none"/>
        </w:rPr>
        <w:t>o</w:t>
      </w:r>
      <w:r w:rsidR="005E451A">
        <w:rPr>
          <w:rFonts w:ascii="Arial" w:hAnsi="Arial" w:cs="Arial"/>
          <w:kern w:val="0"/>
          <w14:ligatures w14:val="none"/>
        </w:rPr>
        <w:t xml:space="preserve"> </w:t>
      </w:r>
      <w:r w:rsidR="005F50A7">
        <w:rPr>
          <w:rFonts w:ascii="Arial" w:hAnsi="Arial" w:cs="Arial"/>
          <w:kern w:val="0"/>
          <w14:ligatures w14:val="none"/>
        </w:rPr>
        <w:t xml:space="preserve">congiuntamente </w:t>
      </w:r>
      <w:r w:rsidR="002B226E">
        <w:rPr>
          <w:rFonts w:ascii="Arial" w:hAnsi="Arial" w:cs="Arial"/>
          <w:kern w:val="0"/>
          <w14:ligatures w14:val="none"/>
        </w:rPr>
        <w:t>in occasione del</w:t>
      </w:r>
      <w:r>
        <w:rPr>
          <w:rFonts w:ascii="Arial" w:hAnsi="Arial" w:cs="Arial"/>
          <w:kern w:val="0"/>
          <w14:ligatures w14:val="none"/>
        </w:rPr>
        <w:t xml:space="preserve"> voto finale </w:t>
      </w:r>
      <w:r w:rsidR="005E451A">
        <w:rPr>
          <w:rFonts w:ascii="Arial" w:hAnsi="Arial" w:cs="Arial"/>
          <w:kern w:val="0"/>
          <w14:ligatures w14:val="none"/>
        </w:rPr>
        <w:t xml:space="preserve">da esprimere </w:t>
      </w:r>
      <w:r w:rsidR="00ED4C73">
        <w:rPr>
          <w:rFonts w:ascii="Arial" w:hAnsi="Arial" w:cs="Arial"/>
          <w:kern w:val="0"/>
          <w14:ligatures w14:val="none"/>
        </w:rPr>
        <w:t xml:space="preserve">sulla piattaforma UNI </w:t>
      </w:r>
      <w:r>
        <w:rPr>
          <w:rFonts w:ascii="Arial" w:hAnsi="Arial" w:cs="Arial"/>
          <w:kern w:val="0"/>
          <w14:ligatures w14:val="none"/>
        </w:rPr>
        <w:t xml:space="preserve">entro il 6 aprile </w:t>
      </w:r>
      <w:r w:rsidR="009A6612">
        <w:rPr>
          <w:rFonts w:ascii="Arial" w:hAnsi="Arial" w:cs="Arial"/>
          <w:kern w:val="0"/>
          <w14:ligatures w14:val="none"/>
        </w:rPr>
        <w:t xml:space="preserve">prossimo. </w:t>
      </w:r>
      <w:r>
        <w:rPr>
          <w:rFonts w:ascii="Arial" w:hAnsi="Arial" w:cs="Arial"/>
          <w:kern w:val="0"/>
          <w14:ligatures w14:val="none"/>
        </w:rPr>
        <w:t xml:space="preserve"> </w:t>
      </w:r>
    </w:p>
    <w:p w14:paraId="70C83211" w14:textId="77777777" w:rsidR="003E6B31" w:rsidRDefault="003E6B31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</w:p>
    <w:p w14:paraId="63949C29" w14:textId="3CE6969F" w:rsidR="003E6B31" w:rsidRDefault="003E6B31" w:rsidP="00D40D86">
      <w:pPr>
        <w:autoSpaceDE w:val="0"/>
        <w:autoSpaceDN w:val="0"/>
        <w:spacing w:after="0" w:line="0" w:lineRule="atLeast"/>
        <w:jc w:val="both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Daremo conto degli esiti del voto finale sul documento nella nostra prossima Newsletter di giugno 2024.</w:t>
      </w:r>
    </w:p>
    <w:p w14:paraId="5D987931" w14:textId="77777777" w:rsidR="00D928DD" w:rsidRPr="00D51310" w:rsidRDefault="00D928DD" w:rsidP="003476FB">
      <w:pPr>
        <w:autoSpaceDE w:val="0"/>
        <w:autoSpaceDN w:val="0"/>
        <w:adjustRightInd w:val="0"/>
        <w:spacing w:after="0" w:line="240" w:lineRule="auto"/>
        <w:contextualSpacing/>
        <w:rPr>
          <w:rFonts w:ascii="Montserrat-Regular" w:hAnsi="Montserrat-Regular" w:cs="Montserrat-Regular"/>
          <w:color w:val="FF0000"/>
          <w:kern w:val="0"/>
          <w:sz w:val="20"/>
          <w:szCs w:val="20"/>
        </w:rPr>
      </w:pPr>
    </w:p>
    <w:p w14:paraId="2FC236C7" w14:textId="132B60F2" w:rsidR="00D93446" w:rsidRDefault="000A1499" w:rsidP="009012A2">
      <w:pPr>
        <w:pStyle w:val="Paragrafoelenco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  <w:r w:rsidRPr="000F49EF">
        <w:rPr>
          <w:rFonts w:ascii="Arial" w:hAnsi="Arial" w:cs="Arial"/>
          <w:b/>
          <w:bCs/>
          <w:kern w:val="0"/>
          <w14:ligatures w14:val="none"/>
        </w:rPr>
        <w:t xml:space="preserve">Nuova </w:t>
      </w:r>
      <w:r w:rsidR="003476FB" w:rsidRPr="000F49EF">
        <w:rPr>
          <w:rFonts w:ascii="Arial" w:hAnsi="Arial" w:cs="Arial"/>
          <w:b/>
          <w:bCs/>
          <w:kern w:val="0"/>
          <w14:ligatures w14:val="none"/>
        </w:rPr>
        <w:t xml:space="preserve">norma UNI - Modello applicativo nazionale della UNI EN ISO 26000:2020 </w:t>
      </w:r>
      <w:r w:rsidR="000F49EF">
        <w:rPr>
          <w:rFonts w:ascii="Arial" w:hAnsi="Arial" w:cs="Arial"/>
          <w:b/>
          <w:bCs/>
          <w:kern w:val="0"/>
          <w14:ligatures w14:val="none"/>
        </w:rPr>
        <w:t xml:space="preserve">- </w:t>
      </w:r>
      <w:r w:rsidR="00D93446" w:rsidRPr="000F49EF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Parte II - </w:t>
      </w:r>
      <w:r w:rsidR="00066691" w:rsidRPr="000F49EF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Processi di reporting e accountability</w:t>
      </w:r>
    </w:p>
    <w:p w14:paraId="160FED8A" w14:textId="77777777" w:rsidR="00FC78B8" w:rsidRPr="000F49EF" w:rsidRDefault="00FC78B8" w:rsidP="00FC78B8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</w:pPr>
    </w:p>
    <w:p w14:paraId="1AA86F7C" w14:textId="77407888" w:rsidR="00FC78B8" w:rsidRDefault="00FC78B8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Sono proseguiti i lavori del </w:t>
      </w:r>
      <w:proofErr w:type="spellStart"/>
      <w:r w:rsidRPr="00C77A02">
        <w:rPr>
          <w:rFonts w:ascii="Arial" w:eastAsia="Times New Roman" w:hAnsi="Arial" w:cs="Arial"/>
          <w:kern w:val="0"/>
          <w:lang w:eastAsia="it-IT"/>
          <w14:ligatures w14:val="none"/>
        </w:rPr>
        <w:t>GdL</w:t>
      </w:r>
      <w:proofErr w:type="spellEnd"/>
      <w:r w:rsidRP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 03 su</w:t>
      </w:r>
      <w:r w:rsidR="003E50DD" w:rsidRPr="00C77A02">
        <w:rPr>
          <w:rFonts w:ascii="Arial" w:eastAsia="Times New Roman" w:hAnsi="Arial" w:cs="Arial"/>
          <w:kern w:val="0"/>
          <w:lang w:eastAsia="it-IT"/>
          <w14:ligatures w14:val="none"/>
        </w:rPr>
        <w:t>l</w:t>
      </w:r>
      <w:r w:rsidR="003C7A68" w:rsidRPr="00C77A02">
        <w:rPr>
          <w:rFonts w:ascii="Arial" w:eastAsia="Times New Roman" w:hAnsi="Arial" w:cs="Arial"/>
          <w:kern w:val="0"/>
          <w:lang w:eastAsia="it-IT"/>
          <w14:ligatures w14:val="none"/>
        </w:rPr>
        <w:t>l</w:t>
      </w:r>
      <w:r w:rsidR="003E50DD" w:rsidRPr="00C77A02">
        <w:rPr>
          <w:rFonts w:ascii="Arial" w:eastAsia="Times New Roman" w:hAnsi="Arial" w:cs="Arial"/>
          <w:kern w:val="0"/>
          <w:lang w:eastAsia="it-IT"/>
          <w14:ligatures w14:val="none"/>
        </w:rPr>
        <w:t>a seconda parte de</w:t>
      </w:r>
      <w:r w:rsidR="00EB4F51" w:rsidRPr="00C77A02">
        <w:rPr>
          <w:rFonts w:ascii="Arial" w:eastAsia="Times New Roman" w:hAnsi="Arial" w:cs="Arial"/>
          <w:kern w:val="0"/>
          <w:lang w:eastAsia="it-IT"/>
          <w14:ligatures w14:val="none"/>
        </w:rPr>
        <w:t>l</w:t>
      </w:r>
      <w:r w:rsidR="00143259" w:rsidRP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 progetto di norma UNI “Modello applicativo nazionale della UNI EN ISO 6000:2020 </w:t>
      </w:r>
      <w:r w:rsidR="00EB4F51" w:rsidRPr="00C77A02">
        <w:rPr>
          <w:rFonts w:ascii="Arial" w:eastAsia="Times New Roman" w:hAnsi="Arial" w:cs="Arial"/>
          <w:kern w:val="0"/>
          <w:lang w:eastAsia="it-IT"/>
          <w14:ligatures w14:val="none"/>
        </w:rPr>
        <w:t>-</w:t>
      </w:r>
      <w:r w:rsidR="00143259" w:rsidRP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 Parte 2 - Processi di reporting e accountability</w:t>
      </w:r>
      <w:r w:rsidR="00E3477C">
        <w:rPr>
          <w:rFonts w:ascii="Arial" w:eastAsia="Times New Roman" w:hAnsi="Arial" w:cs="Arial"/>
          <w:kern w:val="0"/>
          <w:lang w:eastAsia="it-IT"/>
          <w14:ligatures w14:val="none"/>
        </w:rPr>
        <w:t>”</w:t>
      </w:r>
      <w:r w:rsidR="00EB4F51" w:rsidRP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. </w:t>
      </w:r>
    </w:p>
    <w:p w14:paraId="2A7C630B" w14:textId="77777777" w:rsidR="00E3477C" w:rsidRPr="00C77A02" w:rsidRDefault="00E3477C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75FCB9AA" w14:textId="6AA63710" w:rsidR="003C7A68" w:rsidRDefault="00C4760B" w:rsidP="003C7A6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>Ricordiamo che l</w:t>
      </w:r>
      <w:r w:rsidR="003C7A68"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’obiettivo della futura norma è quello di fornire un modello di processo di reporting ad uso delle imprese che adottano la ISO 26000, adattandolo, nel tempo, alle novità in via di definizione a livello europeo sulla rendicontazione volontaria delle PMI. </w:t>
      </w:r>
    </w:p>
    <w:p w14:paraId="21D810EA" w14:textId="77777777" w:rsidR="00C77A02" w:rsidRPr="00955D2A" w:rsidRDefault="00C77A02" w:rsidP="003C7A6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D3A1F7D" w14:textId="11DC1A1D" w:rsidR="003C7A68" w:rsidRDefault="003C7A68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>Confindustria, con Assolombarda e l’Unione Ind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ustriali</w:t>
      </w: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Torino, ha trasmesso nelle varie fasi della redazione, diverse proposte integrative e di modifica del testo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="00E3477C">
        <w:rPr>
          <w:rFonts w:ascii="Arial" w:eastAsia="Times New Roman" w:hAnsi="Arial" w:cs="Arial"/>
          <w:kern w:val="0"/>
          <w:lang w:eastAsia="it-IT"/>
          <w14:ligatures w14:val="none"/>
        </w:rPr>
        <w:t>formulando</w:t>
      </w:r>
      <w:r w:rsidR="00CF409C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="00E3477C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CF409C">
        <w:rPr>
          <w:rFonts w:ascii="Arial" w:eastAsia="Times New Roman" w:hAnsi="Arial" w:cs="Arial"/>
          <w:kern w:val="0"/>
          <w:lang w:eastAsia="it-IT"/>
          <w14:ligatures w14:val="none"/>
        </w:rPr>
        <w:t xml:space="preserve">da ultimo, 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>una serie di osservazioni e richieste di modifica, sia sulla parte generale dell</w:t>
      </w:r>
      <w:r w:rsidR="00901851">
        <w:rPr>
          <w:rFonts w:ascii="Arial" w:eastAsia="Times New Roman" w:hAnsi="Arial" w:cs="Arial"/>
          <w:kern w:val="0"/>
          <w:lang w:eastAsia="it-IT"/>
          <w14:ligatures w14:val="none"/>
        </w:rPr>
        <w:t>a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futura norma, sia sugli Indicatori ESG</w:t>
      </w:r>
      <w:r w:rsidR="00E3477C">
        <w:rPr>
          <w:rFonts w:ascii="Arial" w:eastAsia="Times New Roman" w:hAnsi="Arial" w:cs="Arial"/>
          <w:kern w:val="0"/>
          <w:lang w:eastAsia="it-IT"/>
          <w14:ligatures w14:val="none"/>
        </w:rPr>
        <w:t>, che ne costituiscono la seconda parte.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Più in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particolare, nell’ultima fase redazionale del processo</w:t>
      </w:r>
      <w:r w:rsidR="00563E67">
        <w:rPr>
          <w:rFonts w:ascii="Arial" w:eastAsia="Times New Roman" w:hAnsi="Arial" w:cs="Arial"/>
          <w:kern w:val="0"/>
          <w:lang w:eastAsia="it-IT"/>
          <w14:ligatures w14:val="none"/>
        </w:rPr>
        <w:t>, svoltasi tra ge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nnaio</w:t>
      </w:r>
      <w:r w:rsidR="00563E67">
        <w:rPr>
          <w:rFonts w:ascii="Arial" w:eastAsia="Times New Roman" w:hAnsi="Arial" w:cs="Arial"/>
          <w:kern w:val="0"/>
          <w:lang w:eastAsia="it-IT"/>
          <w14:ligatures w14:val="none"/>
        </w:rPr>
        <w:t xml:space="preserve"> e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febbraio 2024</w:t>
      </w:r>
      <w:r w:rsidR="00563E67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 abbiamo condiviso e chiesto</w:t>
      </w:r>
      <w:r w:rsidR="008D7F77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="00955D2A"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da un lato, alcuni aggiustamenti</w:t>
      </w:r>
      <w:r w:rsidR="008D7F77">
        <w:rPr>
          <w:rFonts w:ascii="Arial" w:eastAsia="Times New Roman" w:hAnsi="Arial" w:cs="Arial"/>
          <w:kern w:val="0"/>
          <w:lang w:eastAsia="it-IT"/>
          <w14:ligatures w14:val="none"/>
        </w:rPr>
        <w:t>/</w:t>
      </w:r>
      <w:r w:rsidR="00955D2A" w:rsidRPr="00955D2A">
        <w:rPr>
          <w:rFonts w:ascii="Arial" w:eastAsia="Times New Roman" w:hAnsi="Arial" w:cs="Arial"/>
          <w:kern w:val="0"/>
          <w:lang w:eastAsia="it-IT"/>
          <w14:ligatures w14:val="none"/>
        </w:rPr>
        <w:t>aggiornamenti tecnici del testo - rispetto all’evoluzione UE della normativa sulla CSRD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 -</w:t>
      </w:r>
      <w:r w:rsidR="00955D2A"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dall’altro, </w:t>
      </w: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l’eliminazione e la modifica di alcuni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indicatori ESG</w:t>
      </w: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considerati critici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o comunque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,</w:t>
      </w: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errati dal punto di vista tecnico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36CF0702" w14:textId="77777777" w:rsidR="00C77A02" w:rsidRDefault="00C77A02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5B758FE" w14:textId="0B2C02E9" w:rsidR="00495F2A" w:rsidRDefault="00C77A02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Siamo in attesa di ricevere l’ultima bozza aggiornata da UNI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, rielaborata tenendo conto di tutte le osservazioni </w:t>
      </w:r>
      <w:r w:rsidR="008D7F77">
        <w:rPr>
          <w:rFonts w:ascii="Arial" w:eastAsia="Times New Roman" w:hAnsi="Arial" w:cs="Arial"/>
          <w:kern w:val="0"/>
          <w:lang w:eastAsia="it-IT"/>
          <w14:ligatures w14:val="none"/>
        </w:rPr>
        <w:t>fatte pervenire dal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gruppo di lavoro</w:t>
      </w:r>
      <w:r w:rsidR="00880C04">
        <w:rPr>
          <w:rFonts w:ascii="Arial" w:eastAsia="Times New Roman" w:hAnsi="Arial" w:cs="Arial"/>
          <w:kern w:val="0"/>
          <w:lang w:eastAsia="it-IT"/>
          <w14:ligatures w14:val="none"/>
        </w:rPr>
        <w:t xml:space="preserve"> negli ultimi due mesi.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3CC23E00" w14:textId="77777777" w:rsidR="00495F2A" w:rsidRDefault="00495F2A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AEE989C" w14:textId="1B07B9BF" w:rsidR="003C7A68" w:rsidRDefault="00C77A02" w:rsidP="00143259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Non appena </w:t>
      </w:r>
      <w:r w:rsidR="00495F2A">
        <w:rPr>
          <w:rFonts w:ascii="Arial" w:eastAsia="Times New Roman" w:hAnsi="Arial" w:cs="Arial"/>
          <w:kern w:val="0"/>
          <w:lang w:eastAsia="it-IT"/>
          <w14:ligatures w14:val="none"/>
        </w:rPr>
        <w:t xml:space="preserve">sarà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resa disponibile, la condivideremo tramite news sul nostro blog di Area.</w:t>
      </w:r>
    </w:p>
    <w:p w14:paraId="26D3A21B" w14:textId="77777777" w:rsidR="00105B33" w:rsidRDefault="00105B33" w:rsidP="00F6675C">
      <w:pPr>
        <w:spacing w:after="0" w:line="240" w:lineRule="auto"/>
        <w:rPr>
          <w:rFonts w:ascii="Arial" w:eastAsia="Times New Roman" w:hAnsi="Arial" w:cs="Arial"/>
          <w:color w:val="FF0000"/>
          <w:kern w:val="0"/>
          <w:lang w:eastAsia="it-IT"/>
          <w14:ligatures w14:val="none"/>
        </w:rPr>
      </w:pPr>
    </w:p>
    <w:p w14:paraId="10F64465" w14:textId="0620552E" w:rsidR="00CA0E2F" w:rsidRPr="00EB29D3" w:rsidRDefault="00105B33" w:rsidP="004E6FA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Arial" w:hAnsi="Arial" w:cs="Arial"/>
          <w:b/>
          <w:bCs/>
          <w:kern w:val="0"/>
          <w14:ligatures w14:val="none"/>
        </w:rPr>
      </w:pPr>
      <w:r w:rsidRPr="00EB29D3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Ul</w:t>
      </w:r>
      <w:r w:rsidR="00CB6C68" w:rsidRPr="00EB29D3">
        <w:rPr>
          <w:rFonts w:ascii="Arial" w:hAnsi="Arial" w:cs="Arial"/>
          <w:b/>
          <w:bCs/>
          <w:kern w:val="0"/>
          <w14:ligatures w14:val="none"/>
        </w:rPr>
        <w:t>teriori attività</w:t>
      </w:r>
      <w:r w:rsidR="00832737" w:rsidRPr="00EB29D3">
        <w:rPr>
          <w:rFonts w:ascii="Arial" w:hAnsi="Arial" w:cs="Arial"/>
          <w:b/>
          <w:bCs/>
          <w:kern w:val="0"/>
          <w14:ligatures w14:val="none"/>
        </w:rPr>
        <w:t xml:space="preserve"> e i</w:t>
      </w:r>
      <w:r w:rsidR="00CB6C68" w:rsidRPr="00EB29D3">
        <w:rPr>
          <w:rFonts w:ascii="Arial" w:hAnsi="Arial" w:cs="Arial"/>
          <w:b/>
          <w:bCs/>
          <w:kern w:val="0"/>
          <w14:ligatures w14:val="none"/>
        </w:rPr>
        <w:t xml:space="preserve">niziative </w:t>
      </w:r>
      <w:r w:rsidR="00832737" w:rsidRPr="00EB29D3">
        <w:rPr>
          <w:rFonts w:ascii="Arial" w:hAnsi="Arial" w:cs="Arial"/>
          <w:b/>
          <w:bCs/>
          <w:kern w:val="0"/>
          <w14:ligatures w14:val="none"/>
        </w:rPr>
        <w:t>portate all’attenzione del</w:t>
      </w:r>
      <w:r w:rsidR="00CB6C68" w:rsidRPr="00EB29D3">
        <w:rPr>
          <w:rFonts w:ascii="Arial" w:hAnsi="Arial" w:cs="Arial"/>
          <w:b/>
          <w:bCs/>
          <w:kern w:val="0"/>
          <w14:ligatures w14:val="none"/>
        </w:rPr>
        <w:t>la Commissione Tecnica sulla RSO</w:t>
      </w:r>
    </w:p>
    <w:p w14:paraId="1D7755B9" w14:textId="77777777" w:rsidR="00EB29D3" w:rsidRPr="00955D2A" w:rsidRDefault="00EB29D3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5D33D558" w14:textId="17D2EC2B" w:rsidR="00955D2A" w:rsidRDefault="00955D2A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55D2A">
        <w:rPr>
          <w:rFonts w:ascii="Arial" w:eastAsia="Times New Roman" w:hAnsi="Arial" w:cs="Arial"/>
          <w:kern w:val="0"/>
          <w:lang w:eastAsia="it-IT"/>
          <w14:ligatures w14:val="none"/>
        </w:rPr>
        <w:t>E’ stata formalizzata la nomina della nuova Presidente della Commissione Tecnica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lang w:eastAsia="it-IT"/>
          <w14:ligatures w14:val="none"/>
        </w:rPr>
        <w:t>d.ssa</w:t>
      </w:r>
      <w:proofErr w:type="spellEnd"/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Lucina Mercadante di INAIL, </w:t>
      </w:r>
      <w:r w:rsidR="00121B0B">
        <w:rPr>
          <w:rFonts w:ascii="Arial" w:eastAsia="Times New Roman" w:hAnsi="Arial" w:cs="Arial"/>
          <w:kern w:val="0"/>
          <w:lang w:eastAsia="it-IT"/>
          <w14:ligatures w14:val="none"/>
        </w:rPr>
        <w:t>s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ubentra</w:t>
      </w:r>
      <w:r w:rsidR="00121B0B">
        <w:rPr>
          <w:rFonts w:ascii="Arial" w:eastAsia="Times New Roman" w:hAnsi="Arial" w:cs="Arial"/>
          <w:kern w:val="0"/>
          <w:lang w:eastAsia="it-IT"/>
          <w14:ligatures w14:val="none"/>
        </w:rPr>
        <w:t>ta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alla </w:t>
      </w:r>
      <w:proofErr w:type="spellStart"/>
      <w:r>
        <w:rPr>
          <w:rFonts w:ascii="Arial" w:eastAsia="Times New Roman" w:hAnsi="Arial" w:cs="Arial"/>
          <w:kern w:val="0"/>
          <w:lang w:eastAsia="it-IT"/>
          <w14:ligatures w14:val="none"/>
        </w:rPr>
        <w:t>d.ssa</w:t>
      </w:r>
      <w:proofErr w:type="spellEnd"/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Ornella Cilona (CGIL)</w:t>
      </w:r>
      <w:r w:rsidR="00121B0B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51BBDD73" w14:textId="77777777" w:rsidR="00C77A02" w:rsidRDefault="00C77A02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C9D734C" w14:textId="76403F34" w:rsidR="00C77A02" w:rsidRDefault="00121B0B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Segnaliamo,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di seguito, sinteticamente gli sviluppi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registrati </w:t>
      </w:r>
      <w:r w:rsidR="00DD1FBE">
        <w:rPr>
          <w:rFonts w:ascii="Arial" w:eastAsia="Times New Roman" w:hAnsi="Arial" w:cs="Arial"/>
          <w:kern w:val="0"/>
          <w:lang w:eastAsia="it-IT"/>
          <w14:ligatures w14:val="none"/>
        </w:rPr>
        <w:t xml:space="preserve">negli ultimi tre mesi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su</w:t>
      </w:r>
      <w:r w:rsidR="000015E9">
        <w:rPr>
          <w:rFonts w:ascii="Arial" w:eastAsia="Times New Roman" w:hAnsi="Arial" w:cs="Arial"/>
          <w:kern w:val="0"/>
          <w:lang w:eastAsia="it-IT"/>
          <w14:ligatures w14:val="none"/>
        </w:rPr>
        <w:t xml:space="preserve">i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 xml:space="preserve">temi </w:t>
      </w:r>
      <w:r w:rsidR="000015E9">
        <w:rPr>
          <w:rFonts w:ascii="Arial" w:eastAsia="Times New Roman" w:hAnsi="Arial" w:cs="Arial"/>
          <w:kern w:val="0"/>
          <w:lang w:eastAsia="it-IT"/>
          <w14:ligatures w14:val="none"/>
        </w:rPr>
        <w:t xml:space="preserve">più rilevanti </w:t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seguiti dalla Commissione:</w:t>
      </w:r>
    </w:p>
    <w:p w14:paraId="617E870E" w14:textId="77777777" w:rsidR="00C77A02" w:rsidRDefault="00C77A02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44AD3508" w14:textId="32BFA505" w:rsidR="00C77A02" w:rsidRDefault="004E6FA1" w:rsidP="004E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Gestione delle Risorse Umane - </w:t>
      </w:r>
      <w:r w:rsidR="00C77A02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Comitato Tecnico ISO su “(</w:t>
      </w:r>
      <w:r w:rsidR="00EB29D3" w:rsidRPr="00EB29D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TC 260</w:t>
      </w:r>
      <w:r w:rsidR="00C77A02" w:rsidRPr="00C77A02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) </w:t>
      </w:r>
      <w:r w:rsidR="00EB29D3" w:rsidRPr="00EB29D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Human </w:t>
      </w:r>
      <w:r w:rsidR="00C77A02" w:rsidRPr="00C77A02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R</w:t>
      </w:r>
      <w:r w:rsidR="00EB29D3" w:rsidRPr="00EB29D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esource</w:t>
      </w:r>
      <w:r w:rsidR="00C77A02" w:rsidRPr="00C77A02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M</w:t>
      </w:r>
      <w:r w:rsidR="00EB29D3" w:rsidRPr="00EB29D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anagement”</w:t>
      </w:r>
    </w:p>
    <w:p w14:paraId="4E1A00B8" w14:textId="7D5F3403" w:rsidR="004E6FA1" w:rsidRDefault="00EB29D3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EB29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C77A02">
        <w:rPr>
          <w:rFonts w:ascii="Arial" w:eastAsia="Times New Roman" w:hAnsi="Arial" w:cs="Arial"/>
          <w:kern w:val="0"/>
          <w:lang w:eastAsia="it-IT"/>
          <w14:ligatures w14:val="none"/>
        </w:rPr>
        <w:t>Il Comitato sta proseguendo i lavori</w:t>
      </w:r>
      <w:r w:rsidR="004E6FA1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 Working Group 7, impegnato nella revisione dello standard ISO 3</w:t>
      </w:r>
      <w:r w:rsidRPr="00EB29D3">
        <w:rPr>
          <w:rFonts w:ascii="Arial" w:eastAsia="Times New Roman" w:hAnsi="Arial" w:cs="Arial"/>
          <w:kern w:val="0"/>
          <w:lang w:eastAsia="it-IT"/>
          <w14:ligatures w14:val="none"/>
        </w:rPr>
        <w:t xml:space="preserve">0414 </w:t>
      </w:r>
      <w:r w:rsidR="004E6FA1">
        <w:rPr>
          <w:rFonts w:ascii="Arial" w:eastAsia="Times New Roman" w:hAnsi="Arial" w:cs="Arial"/>
          <w:kern w:val="0"/>
          <w:lang w:eastAsia="it-IT"/>
          <w14:ligatures w14:val="none"/>
        </w:rPr>
        <w:t xml:space="preserve">su </w:t>
      </w:r>
      <w:r w:rsidRPr="00EB29D3">
        <w:rPr>
          <w:rFonts w:ascii="Arial" w:eastAsia="Times New Roman" w:hAnsi="Arial" w:cs="Arial"/>
          <w:kern w:val="0"/>
          <w:lang w:eastAsia="it-IT"/>
          <w14:ligatures w14:val="none"/>
        </w:rPr>
        <w:t>Human Capital Reporting,</w:t>
      </w:r>
      <w:r w:rsidR="004E6FA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Pr="00EB29D3">
        <w:rPr>
          <w:rFonts w:ascii="Arial" w:eastAsia="Times New Roman" w:hAnsi="Arial" w:cs="Arial"/>
          <w:kern w:val="0"/>
          <w:lang w:eastAsia="it-IT"/>
          <w14:ligatures w14:val="none"/>
        </w:rPr>
        <w:t>pubblicata nel 2018, e del W</w:t>
      </w:r>
      <w:r w:rsidR="004E6FA1">
        <w:rPr>
          <w:rFonts w:ascii="Arial" w:eastAsia="Times New Roman" w:hAnsi="Arial" w:cs="Arial"/>
          <w:kern w:val="0"/>
          <w:lang w:eastAsia="it-IT"/>
          <w14:ligatures w14:val="none"/>
        </w:rPr>
        <w:t>orking Group 1</w:t>
      </w:r>
      <w:r w:rsidRPr="00EB29D3">
        <w:rPr>
          <w:rFonts w:ascii="Arial" w:eastAsia="Times New Roman" w:hAnsi="Arial" w:cs="Arial"/>
          <w:kern w:val="0"/>
          <w:lang w:eastAsia="it-IT"/>
          <w14:ligatures w14:val="none"/>
        </w:rPr>
        <w:t>3, che ha il compito di pubblicare la norma ISO 30201,</w:t>
      </w:r>
      <w:r w:rsidR="004E6FA1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EF20A6">
        <w:rPr>
          <w:rFonts w:ascii="Arial" w:eastAsia="Times New Roman" w:hAnsi="Arial" w:cs="Arial"/>
          <w:kern w:val="0"/>
          <w:lang w:eastAsia="it-IT"/>
          <w14:ligatures w14:val="none"/>
        </w:rPr>
        <w:t xml:space="preserve">riguardante un Sistema di Gestione sulle Risorse Umane, certificabile. </w:t>
      </w:r>
    </w:p>
    <w:p w14:paraId="1ADF1924" w14:textId="77777777" w:rsidR="004E6FA1" w:rsidRDefault="004E6FA1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6A0919CD" w14:textId="3B845F5B" w:rsidR="004E6FA1" w:rsidRPr="004E6FA1" w:rsidRDefault="004E6FA1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</w:pPr>
      <w:r w:rsidRPr="00EB29D3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>Profili professionali della funzione risorse umane</w:t>
      </w:r>
      <w:r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– Riavvio del relativo gruppo di lavoro</w:t>
      </w:r>
      <w:r w:rsidR="00DD1FBE">
        <w:rPr>
          <w:rFonts w:ascii="Arial" w:eastAsia="Times New Roman" w:hAnsi="Arial" w:cs="Arial"/>
          <w:kern w:val="0"/>
          <w:u w:val="single"/>
          <w:lang w:eastAsia="it-IT"/>
          <w14:ligatures w14:val="none"/>
        </w:rPr>
        <w:t xml:space="preserve"> UNI</w:t>
      </w:r>
    </w:p>
    <w:p w14:paraId="142C3777" w14:textId="77777777" w:rsidR="004E6FA1" w:rsidRDefault="004E6FA1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C35A157" w14:textId="2DDF03A5" w:rsidR="004E6FA1" w:rsidRPr="004E6FA1" w:rsidRDefault="004E6FA1" w:rsidP="004E6F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Alcuni componenti della Commissione hanno proposto il riavvio del </w:t>
      </w:r>
      <w:proofErr w:type="spellStart"/>
      <w:r>
        <w:rPr>
          <w:rFonts w:ascii="Arial" w:eastAsia="Times New Roman" w:hAnsi="Arial" w:cs="Arial"/>
          <w:kern w:val="0"/>
          <w:lang w:eastAsia="it-IT"/>
          <w14:ligatures w14:val="none"/>
        </w:rPr>
        <w:t>gdl</w:t>
      </w:r>
      <w:proofErr w:type="spellEnd"/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02 di UNI, creato negli anni scorsi come sott</w:t>
      </w:r>
      <w:r w:rsidR="00DD1FBE">
        <w:rPr>
          <w:rFonts w:ascii="Arial" w:eastAsia="Times New Roman" w:hAnsi="Arial" w:cs="Arial"/>
          <w:kern w:val="0"/>
          <w:lang w:eastAsia="it-IT"/>
          <w14:ligatures w14:val="none"/>
        </w:rPr>
        <w:t>o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-gruppo della stessa, sul tema dei p</w:t>
      </w:r>
      <w:r w:rsidRPr="00EB29D3">
        <w:rPr>
          <w:rFonts w:ascii="Arial" w:eastAsia="Times New Roman" w:hAnsi="Arial" w:cs="Arial"/>
          <w:kern w:val="0"/>
          <w:lang w:eastAsia="it-IT"/>
          <w14:ligatures w14:val="none"/>
        </w:rPr>
        <w:t>rofili professionali della funzione risorse umane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>, in considerazione delle numerose iniziative che l’ISO sta sviluppando su questo argomento</w:t>
      </w:r>
      <w:r w:rsidR="00681E9C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1C30CB96" w14:textId="5627EBB3" w:rsidR="00D22121" w:rsidRDefault="00EB29D3" w:rsidP="00121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  <w:r w:rsidRPr="00EB29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="00D22121" w:rsidRPr="00D22121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 xml:space="preserve">Tavolo </w:t>
      </w:r>
      <w:r w:rsidRPr="00EB29D3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di lavoro UNI/</w:t>
      </w:r>
      <w:proofErr w:type="spellStart"/>
      <w:r w:rsidRPr="00EB29D3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PdR</w:t>
      </w:r>
      <w:proofErr w:type="spellEnd"/>
      <w:r w:rsidRPr="00EB29D3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 xml:space="preserve"> “Linea guida per l’attestazione di</w:t>
      </w:r>
      <w:r w:rsidR="00D22121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 xml:space="preserve"> </w:t>
      </w:r>
      <w:r w:rsidRPr="00EB29D3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conformità del rapporto di sostenibilità”</w:t>
      </w:r>
    </w:p>
    <w:p w14:paraId="72828F05" w14:textId="77777777" w:rsidR="00D22121" w:rsidRDefault="00D22121" w:rsidP="00D2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</w:p>
    <w:p w14:paraId="65DBC380" w14:textId="3ADC0D9C" w:rsidR="00B14F84" w:rsidRDefault="00B14F84" w:rsidP="00DD1F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lang w:eastAsia="it-IT"/>
          <w14:ligatures w14:val="none"/>
        </w:rPr>
        <w:t>L</w:t>
      </w:r>
      <w:r w:rsidR="00D22121" w:rsidRPr="00D22121">
        <w:rPr>
          <w:rFonts w:ascii="Arial" w:eastAsia="Times New Roman" w:hAnsi="Arial" w:cs="Arial"/>
          <w:kern w:val="0"/>
          <w:lang w:eastAsia="it-IT"/>
          <w14:ligatures w14:val="none"/>
        </w:rPr>
        <w:t>’obiettivo</w:t>
      </w:r>
      <w:r w:rsidR="00D22121">
        <w:rPr>
          <w:rFonts w:ascii="Arial" w:eastAsia="Times New Roman" w:hAnsi="Arial" w:cs="Arial"/>
          <w:kern w:val="0"/>
          <w:lang w:eastAsia="it-IT"/>
          <w14:ligatures w14:val="none"/>
        </w:rPr>
        <w:t xml:space="preserve"> del Tavolo è quello</w:t>
      </w:r>
      <w:r w:rsidR="00D22121" w:rsidRPr="00D22121">
        <w:rPr>
          <w:rFonts w:ascii="Arial" w:eastAsia="Times New Roman" w:hAnsi="Arial" w:cs="Arial"/>
          <w:kern w:val="0"/>
          <w:lang w:eastAsia="it-IT"/>
          <w14:ligatures w14:val="none"/>
        </w:rPr>
        <w:t xml:space="preserve"> di creare </w:t>
      </w:r>
      <w:r w:rsidR="00D22121" w:rsidRPr="00D22121">
        <w:rPr>
          <w:rFonts w:ascii="Arial" w:hAnsi="Arial" w:cs="Arial"/>
        </w:rPr>
        <w:t xml:space="preserve">uno strumento </w:t>
      </w:r>
      <w:r w:rsidR="00D22121" w:rsidRPr="00D22121">
        <w:rPr>
          <w:rFonts w:ascii="Arial" w:eastAsia="Times New Roman" w:hAnsi="Arial" w:cs="Arial"/>
          <w:kern w:val="0"/>
          <w:lang w:eastAsia="it-IT"/>
          <w14:ligatures w14:val="none"/>
        </w:rPr>
        <w:t xml:space="preserve">nazionale </w:t>
      </w:r>
      <w:r w:rsidR="00D22121" w:rsidRPr="00D22121">
        <w:rPr>
          <w:rFonts w:ascii="Arial" w:hAnsi="Arial" w:cs="Arial"/>
        </w:rPr>
        <w:t xml:space="preserve">per il rilascio di un’attestazione di conformità della rendicontazione di sostenibilità </w:t>
      </w:r>
      <w:r>
        <w:rPr>
          <w:rFonts w:ascii="Arial" w:hAnsi="Arial" w:cs="Arial"/>
        </w:rPr>
        <w:t xml:space="preserve">(ai sensi della direttiva CSRD) </w:t>
      </w:r>
      <w:r w:rsidR="00D22121" w:rsidRPr="00D22121">
        <w:rPr>
          <w:rFonts w:ascii="Arial" w:hAnsi="Arial" w:cs="Arial"/>
        </w:rPr>
        <w:t>e l’accreditamento dei prestatori indipendenti di servizi di attestazione di conformità</w:t>
      </w:r>
      <w:r w:rsidR="00D22121">
        <w:rPr>
          <w:rFonts w:ascii="Arial" w:hAnsi="Arial" w:cs="Arial"/>
        </w:rPr>
        <w:t xml:space="preserve">. </w:t>
      </w:r>
      <w:r w:rsidR="00013220">
        <w:rPr>
          <w:rFonts w:ascii="Arial" w:hAnsi="Arial" w:cs="Arial"/>
        </w:rPr>
        <w:t xml:space="preserve">I lavori del Tavolo hanno, tuttavia, subito un </w:t>
      </w:r>
      <w:r w:rsidR="00D50836">
        <w:rPr>
          <w:rFonts w:ascii="Arial" w:hAnsi="Arial" w:cs="Arial"/>
        </w:rPr>
        <w:t>rallentamento</w:t>
      </w:r>
      <w:r w:rsidR="00013220">
        <w:rPr>
          <w:rFonts w:ascii="Arial" w:hAnsi="Arial" w:cs="Arial"/>
        </w:rPr>
        <w:t>, dovuto alla necessità di approfondire alcuni</w:t>
      </w:r>
      <w:r w:rsidR="00D50836">
        <w:rPr>
          <w:rFonts w:ascii="Arial" w:hAnsi="Arial" w:cs="Arial"/>
        </w:rPr>
        <w:t xml:space="preserve"> recenti </w:t>
      </w:r>
      <w:r w:rsidR="00DD1FBE" w:rsidRPr="00DD1FB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draft di livello internazionale</w:t>
      </w:r>
      <w:r w:rsidR="0001322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sul tema della cd </w:t>
      </w:r>
      <w:proofErr w:type="spellStart"/>
      <w:r w:rsidR="00D50836" w:rsidRPr="00D50836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assurance</w:t>
      </w:r>
      <w:proofErr w:type="spellEnd"/>
      <w:r w:rsidR="00D5083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167F5E81" w14:textId="77777777" w:rsidR="00D50836" w:rsidRPr="00121B0B" w:rsidRDefault="00D50836" w:rsidP="00DD1FBE">
      <w:pPr>
        <w:shd w:val="clear" w:color="auto" w:fill="FFFFFF"/>
        <w:spacing w:after="0" w:line="240" w:lineRule="auto"/>
        <w:rPr>
          <w:rFonts w:ascii="Arial" w:hAnsi="Arial" w:cs="Arial"/>
          <w:u w:val="single"/>
        </w:rPr>
      </w:pPr>
    </w:p>
    <w:p w14:paraId="57C74B6F" w14:textId="58AB04B0" w:rsidR="00121B0B" w:rsidRPr="00121B0B" w:rsidRDefault="00EB29D3" w:rsidP="00D221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  <w:r w:rsidRPr="00121B0B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Sondaggio su UNI/</w:t>
      </w:r>
      <w:proofErr w:type="spellStart"/>
      <w:r w:rsidRPr="00121B0B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PdR</w:t>
      </w:r>
      <w:proofErr w:type="spellEnd"/>
      <w:r w:rsidRPr="00121B0B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 xml:space="preserve"> 49:2018 - Responsabilità sociale nel settore delle costruzioni -</w:t>
      </w:r>
      <w:r w:rsidR="00121B0B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 xml:space="preserve"> </w:t>
      </w:r>
      <w:r w:rsidRPr="00121B0B"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  <w:t>Linee guida all'applicazione del modello di responsabilità sociale UNI ISO 26000</w:t>
      </w:r>
    </w:p>
    <w:p w14:paraId="10065B2C" w14:textId="77777777" w:rsidR="00121B0B" w:rsidRDefault="00EB29D3" w:rsidP="00121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EB29D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  <w:r w:rsidR="00121B0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Confindustria ha segnalato e trasmesso ad ANCE </w:t>
      </w:r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il link al sondaggio </w:t>
      </w:r>
      <w:r w:rsidR="00121B0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promosso da UNI </w:t>
      </w:r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sulla UNI/</w:t>
      </w:r>
      <w:proofErr w:type="spellStart"/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PdR</w:t>
      </w:r>
      <w:proofErr w:type="spellEnd"/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49:2018 "Responsabilità sociale nel settore</w:t>
      </w:r>
      <w:r w:rsidRPr="00EB29D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delle costruzioni – Linee guida all’applicazione del modello di responsabilità sociale UNI</w:t>
      </w:r>
      <w:r w:rsidRPr="00EB29D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br/>
      </w:r>
      <w:r w:rsidRPr="00EB29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ISO 26000</w:t>
      </w:r>
      <w:r w:rsidR="00121B0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. </w:t>
      </w:r>
    </w:p>
    <w:p w14:paraId="748B7290" w14:textId="77777777" w:rsidR="00F64DB7" w:rsidRDefault="00F64DB7" w:rsidP="00121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1BB93AD8" w14:textId="756AEBAD" w:rsidR="00F64DB7" w:rsidRDefault="00F64DB7" w:rsidP="00121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F04161">
        <w:rPr>
          <w:rFonts w:ascii="Arial" w:eastAsia="Times New Roman" w:hAnsi="Arial" w:cs="Arial"/>
          <w:kern w:val="0"/>
          <w:lang w:eastAsia="it-IT"/>
          <w14:ligatures w14:val="none"/>
        </w:rPr>
        <w:t xml:space="preserve">La prossima riunione 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della CT RSO plenaria si terrà il </w:t>
      </w:r>
      <w:r w:rsidRPr="00CB1C9D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9 aprile 2024.</w:t>
      </w:r>
      <w:r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</w:p>
    <w:p w14:paraId="7A7D6661" w14:textId="77777777" w:rsidR="00121B0B" w:rsidRDefault="00121B0B" w:rsidP="00121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p w14:paraId="25D58D1E" w14:textId="21E0551E" w:rsidR="003866E4" w:rsidRDefault="0062403F" w:rsidP="00F64DB7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kern w:val="0"/>
          <w:u w:val="single"/>
          <w:lang w:eastAsia="it-IT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nostra </w:t>
      </w:r>
      <w:r w:rsidR="00DC365F" w:rsidRPr="00DC365F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prossima Newsletter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con relativi aggiornamenti,</w:t>
      </w:r>
      <w:r w:rsidR="00DC365F" w:rsidRPr="00DC365F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sarà pubblicata a </w:t>
      </w:r>
      <w:r w:rsidR="00F64DB7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metà </w:t>
      </w:r>
      <w:r w:rsidR="00D51310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giugno </w:t>
      </w:r>
      <w:proofErr w:type="spellStart"/>
      <w:r w:rsidR="00F64DB7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pv</w:t>
      </w:r>
      <w:proofErr w:type="spellEnd"/>
      <w:r w:rsidR="00F64DB7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08CFB172" w14:textId="77777777" w:rsidR="00D67322" w:rsidRDefault="00D67322" w:rsidP="00D67322">
      <w:pPr>
        <w:shd w:val="clear" w:color="auto" w:fill="FFFFFF"/>
        <w:spacing w:after="0" w:line="240" w:lineRule="auto"/>
        <w:jc w:val="both"/>
      </w:pPr>
    </w:p>
    <w:p w14:paraId="16C5CBD3" w14:textId="525C6D89" w:rsidR="008D60DA" w:rsidRDefault="008D60DA" w:rsidP="008D60DA">
      <w:pPr>
        <w:jc w:val="both"/>
        <w:rPr>
          <w:rFonts w:ascii="Arial" w:hAnsi="Arial" w:cs="Arial"/>
          <w:kern w:val="0"/>
          <w14:ligatures w14:val="none"/>
        </w:rPr>
      </w:pPr>
      <w:r w:rsidRPr="00105B33">
        <w:rPr>
          <w:rFonts w:ascii="Arial" w:hAnsi="Arial" w:cs="Arial"/>
          <w:kern w:val="0"/>
          <w14:ligatures w14:val="none"/>
        </w:rPr>
        <w:t>Per ulteriori informazioni</w:t>
      </w:r>
      <w:r>
        <w:rPr>
          <w:rFonts w:ascii="Arial" w:hAnsi="Arial" w:cs="Arial"/>
          <w:kern w:val="0"/>
          <w14:ligatures w14:val="none"/>
        </w:rPr>
        <w:t xml:space="preserve"> e/o chiarimenti </w:t>
      </w:r>
      <w:r w:rsidRPr="00105B33">
        <w:rPr>
          <w:rFonts w:ascii="Arial" w:hAnsi="Arial" w:cs="Arial"/>
          <w:kern w:val="0"/>
          <w14:ligatures w14:val="none"/>
        </w:rPr>
        <w:t xml:space="preserve">sulle attività </w:t>
      </w:r>
      <w:r w:rsidR="00D67322">
        <w:rPr>
          <w:rFonts w:ascii="Arial" w:hAnsi="Arial" w:cs="Arial"/>
          <w:kern w:val="0"/>
          <w14:ligatures w14:val="none"/>
        </w:rPr>
        <w:t xml:space="preserve">illustrate </w:t>
      </w:r>
      <w:r w:rsidRPr="00105B33">
        <w:rPr>
          <w:rFonts w:ascii="Arial" w:hAnsi="Arial" w:cs="Arial"/>
          <w:kern w:val="0"/>
          <w14:ligatures w14:val="none"/>
        </w:rPr>
        <w:t xml:space="preserve">nella Newsletter, potete rivolgervi a: Paola Astorri e-mail: </w:t>
      </w:r>
      <w:hyperlink r:id="rId7" w:history="1">
        <w:r w:rsidRPr="00105B33">
          <w:rPr>
            <w:rFonts w:ascii="Arial" w:hAnsi="Arial" w:cs="Arial"/>
            <w:color w:val="0563C1" w:themeColor="hyperlink"/>
            <w:kern w:val="0"/>
            <w:u w:val="single"/>
            <w14:ligatures w14:val="none"/>
          </w:rPr>
          <w:t>p.astorri@confindustria.it</w:t>
        </w:r>
      </w:hyperlink>
      <w:r w:rsidRPr="00105B33">
        <w:rPr>
          <w:rFonts w:ascii="Arial" w:hAnsi="Arial" w:cs="Arial"/>
          <w:kern w:val="0"/>
          <w14:ligatures w14:val="none"/>
        </w:rPr>
        <w:t xml:space="preserve">;  </w:t>
      </w:r>
      <w:proofErr w:type="spellStart"/>
      <w:r w:rsidRPr="00105B33">
        <w:rPr>
          <w:rFonts w:ascii="Arial" w:hAnsi="Arial" w:cs="Arial"/>
          <w:kern w:val="0"/>
          <w14:ligatures w14:val="none"/>
        </w:rPr>
        <w:t>tel</w:t>
      </w:r>
      <w:proofErr w:type="spellEnd"/>
      <w:r w:rsidRPr="00105B33">
        <w:rPr>
          <w:rFonts w:ascii="Arial" w:hAnsi="Arial" w:cs="Arial"/>
          <w:kern w:val="0"/>
          <w14:ligatures w14:val="none"/>
        </w:rPr>
        <w:t xml:space="preserve"> 366 6313155.</w:t>
      </w:r>
    </w:p>
    <w:p w14:paraId="6224629E" w14:textId="77777777" w:rsidR="008D60DA" w:rsidRDefault="008D60DA" w:rsidP="00950494"/>
    <w:p w14:paraId="6E0D7EC9" w14:textId="77777777" w:rsidR="008D60DA" w:rsidRPr="00950494" w:rsidRDefault="008D60DA" w:rsidP="00950494">
      <w:pPr>
        <w:rPr>
          <w:sz w:val="32"/>
          <w:szCs w:val="32"/>
        </w:rPr>
      </w:pPr>
    </w:p>
    <w:sectPr w:rsidR="008D60DA" w:rsidRPr="0095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4F1D" w14:textId="77777777" w:rsidR="00C8039A" w:rsidRDefault="00C8039A" w:rsidP="00215DAA">
      <w:pPr>
        <w:spacing w:after="0" w:line="240" w:lineRule="auto"/>
      </w:pPr>
      <w:r>
        <w:separator/>
      </w:r>
    </w:p>
  </w:endnote>
  <w:endnote w:type="continuationSeparator" w:id="0">
    <w:p w14:paraId="7440B43B" w14:textId="77777777" w:rsidR="00C8039A" w:rsidRDefault="00C8039A" w:rsidP="0021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ntserra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49C9" w14:textId="77777777" w:rsidR="00215DAA" w:rsidRDefault="00215D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CA1" w14:textId="77777777" w:rsidR="00215DAA" w:rsidRDefault="00215D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1915" w14:textId="77777777" w:rsidR="00215DAA" w:rsidRDefault="00215D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7A61" w14:textId="77777777" w:rsidR="00C8039A" w:rsidRDefault="00C8039A" w:rsidP="00215DAA">
      <w:pPr>
        <w:spacing w:after="0" w:line="240" w:lineRule="auto"/>
      </w:pPr>
      <w:r>
        <w:separator/>
      </w:r>
    </w:p>
  </w:footnote>
  <w:footnote w:type="continuationSeparator" w:id="0">
    <w:p w14:paraId="0F1C35B1" w14:textId="77777777" w:rsidR="00C8039A" w:rsidRDefault="00C8039A" w:rsidP="0021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1D03" w14:textId="77777777" w:rsidR="00215DAA" w:rsidRDefault="00215D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C259C" w14:textId="77777777" w:rsidR="00215DAA" w:rsidRDefault="00215D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BF00" w14:textId="77777777" w:rsidR="00215DAA" w:rsidRDefault="00215D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99"/>
    <w:multiLevelType w:val="hybridMultilevel"/>
    <w:tmpl w:val="2F7ADC2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0736"/>
    <w:multiLevelType w:val="hybridMultilevel"/>
    <w:tmpl w:val="FC0E2DE0"/>
    <w:lvl w:ilvl="0" w:tplc="870EA7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77F8"/>
    <w:multiLevelType w:val="multilevel"/>
    <w:tmpl w:val="7984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A522A"/>
    <w:multiLevelType w:val="hybridMultilevel"/>
    <w:tmpl w:val="6BE22292"/>
    <w:lvl w:ilvl="0" w:tplc="C0B0A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67DF4"/>
    <w:multiLevelType w:val="hybridMultilevel"/>
    <w:tmpl w:val="43BC0D88"/>
    <w:lvl w:ilvl="0" w:tplc="0E3089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22A2"/>
    <w:multiLevelType w:val="hybridMultilevel"/>
    <w:tmpl w:val="F4A4C520"/>
    <w:lvl w:ilvl="0" w:tplc="6B7C0F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0984"/>
    <w:multiLevelType w:val="hybridMultilevel"/>
    <w:tmpl w:val="69729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4AFD"/>
    <w:multiLevelType w:val="multilevel"/>
    <w:tmpl w:val="29E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55DA9"/>
    <w:multiLevelType w:val="multilevel"/>
    <w:tmpl w:val="DDC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A1FC5"/>
    <w:multiLevelType w:val="hybridMultilevel"/>
    <w:tmpl w:val="70FAAA30"/>
    <w:lvl w:ilvl="0" w:tplc="E8244668">
      <w:start w:val="2"/>
      <w:numFmt w:val="decimal"/>
      <w:lvlText w:val="%1."/>
      <w:lvlJc w:val="left"/>
      <w:pPr>
        <w:ind w:left="720" w:hanging="360"/>
      </w:pPr>
      <w:rPr>
        <w:rFonts w:ascii="Montserrat-Regular" w:hAnsi="Montserrat-Regular" w:cs="Montserrat-Regular" w:hint="default"/>
        <w:b w:val="0"/>
        <w:color w:val="2E2E2E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3363">
    <w:abstractNumId w:val="3"/>
  </w:num>
  <w:num w:numId="2" w16cid:durableId="1061562194">
    <w:abstractNumId w:val="6"/>
  </w:num>
  <w:num w:numId="3" w16cid:durableId="37828450">
    <w:abstractNumId w:val="9"/>
  </w:num>
  <w:num w:numId="4" w16cid:durableId="1833645503">
    <w:abstractNumId w:val="0"/>
  </w:num>
  <w:num w:numId="5" w16cid:durableId="85351641">
    <w:abstractNumId w:val="7"/>
  </w:num>
  <w:num w:numId="6" w16cid:durableId="892616926">
    <w:abstractNumId w:val="2"/>
  </w:num>
  <w:num w:numId="7" w16cid:durableId="1009911739">
    <w:abstractNumId w:val="8"/>
  </w:num>
  <w:num w:numId="8" w16cid:durableId="327908554">
    <w:abstractNumId w:val="5"/>
  </w:num>
  <w:num w:numId="9" w16cid:durableId="1789160049">
    <w:abstractNumId w:val="1"/>
  </w:num>
  <w:num w:numId="10" w16cid:durableId="1345789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F"/>
    <w:rsid w:val="000015E9"/>
    <w:rsid w:val="00013220"/>
    <w:rsid w:val="00016B72"/>
    <w:rsid w:val="0003390A"/>
    <w:rsid w:val="00047F0A"/>
    <w:rsid w:val="00060397"/>
    <w:rsid w:val="00065A51"/>
    <w:rsid w:val="00066691"/>
    <w:rsid w:val="000850AE"/>
    <w:rsid w:val="000A1499"/>
    <w:rsid w:val="000B2369"/>
    <w:rsid w:val="000D251F"/>
    <w:rsid w:val="000D7CAE"/>
    <w:rsid w:val="000F49EF"/>
    <w:rsid w:val="000F56BD"/>
    <w:rsid w:val="00105B33"/>
    <w:rsid w:val="0011021E"/>
    <w:rsid w:val="00113DFC"/>
    <w:rsid w:val="001162D9"/>
    <w:rsid w:val="00121B0B"/>
    <w:rsid w:val="00143259"/>
    <w:rsid w:val="0016171E"/>
    <w:rsid w:val="001A0A5C"/>
    <w:rsid w:val="001B1796"/>
    <w:rsid w:val="001B5D98"/>
    <w:rsid w:val="001D1CE2"/>
    <w:rsid w:val="001D3DC2"/>
    <w:rsid w:val="001F1542"/>
    <w:rsid w:val="001F23B0"/>
    <w:rsid w:val="0020705E"/>
    <w:rsid w:val="00215DAA"/>
    <w:rsid w:val="002378A6"/>
    <w:rsid w:val="00250B03"/>
    <w:rsid w:val="00255B9A"/>
    <w:rsid w:val="002567D3"/>
    <w:rsid w:val="00283773"/>
    <w:rsid w:val="00286144"/>
    <w:rsid w:val="002A327E"/>
    <w:rsid w:val="002B226E"/>
    <w:rsid w:val="002B6843"/>
    <w:rsid w:val="002C12A2"/>
    <w:rsid w:val="002C1A4D"/>
    <w:rsid w:val="002D169C"/>
    <w:rsid w:val="002D196D"/>
    <w:rsid w:val="002E62FD"/>
    <w:rsid w:val="002F6885"/>
    <w:rsid w:val="00300C78"/>
    <w:rsid w:val="00307538"/>
    <w:rsid w:val="003227B6"/>
    <w:rsid w:val="003243EA"/>
    <w:rsid w:val="00326677"/>
    <w:rsid w:val="00331876"/>
    <w:rsid w:val="003476FB"/>
    <w:rsid w:val="00357C3C"/>
    <w:rsid w:val="00361D10"/>
    <w:rsid w:val="00362B04"/>
    <w:rsid w:val="00375429"/>
    <w:rsid w:val="00381E3D"/>
    <w:rsid w:val="003828B8"/>
    <w:rsid w:val="003866E4"/>
    <w:rsid w:val="00391F37"/>
    <w:rsid w:val="003B38BF"/>
    <w:rsid w:val="003C7A68"/>
    <w:rsid w:val="003D2414"/>
    <w:rsid w:val="003E12A4"/>
    <w:rsid w:val="003E50DD"/>
    <w:rsid w:val="003E6B31"/>
    <w:rsid w:val="003F5A28"/>
    <w:rsid w:val="003F6980"/>
    <w:rsid w:val="004138AE"/>
    <w:rsid w:val="00421FA1"/>
    <w:rsid w:val="00426FFE"/>
    <w:rsid w:val="00445EFA"/>
    <w:rsid w:val="0044678B"/>
    <w:rsid w:val="00453B7B"/>
    <w:rsid w:val="004674B6"/>
    <w:rsid w:val="004824CB"/>
    <w:rsid w:val="00487A6A"/>
    <w:rsid w:val="00495F2A"/>
    <w:rsid w:val="004A03CA"/>
    <w:rsid w:val="004B30FA"/>
    <w:rsid w:val="004B316D"/>
    <w:rsid w:val="004C7DD9"/>
    <w:rsid w:val="004E26A3"/>
    <w:rsid w:val="004E2BDA"/>
    <w:rsid w:val="004E3715"/>
    <w:rsid w:val="004E672C"/>
    <w:rsid w:val="004E6FA1"/>
    <w:rsid w:val="004F1961"/>
    <w:rsid w:val="004F6D0C"/>
    <w:rsid w:val="00502F99"/>
    <w:rsid w:val="0051428B"/>
    <w:rsid w:val="00516C85"/>
    <w:rsid w:val="005273A3"/>
    <w:rsid w:val="00531A3D"/>
    <w:rsid w:val="0053560F"/>
    <w:rsid w:val="00536614"/>
    <w:rsid w:val="00563DE5"/>
    <w:rsid w:val="00563E67"/>
    <w:rsid w:val="0056455E"/>
    <w:rsid w:val="0057421D"/>
    <w:rsid w:val="005753A9"/>
    <w:rsid w:val="0059145A"/>
    <w:rsid w:val="005A4240"/>
    <w:rsid w:val="005B30DD"/>
    <w:rsid w:val="005B6F37"/>
    <w:rsid w:val="005C06A8"/>
    <w:rsid w:val="005D23B7"/>
    <w:rsid w:val="005D2B3E"/>
    <w:rsid w:val="005E2423"/>
    <w:rsid w:val="005E451A"/>
    <w:rsid w:val="005E7389"/>
    <w:rsid w:val="005F34E3"/>
    <w:rsid w:val="005F50A7"/>
    <w:rsid w:val="00610325"/>
    <w:rsid w:val="0062403F"/>
    <w:rsid w:val="0063345B"/>
    <w:rsid w:val="00643C43"/>
    <w:rsid w:val="0065748A"/>
    <w:rsid w:val="006614D1"/>
    <w:rsid w:val="00661C6E"/>
    <w:rsid w:val="0066324F"/>
    <w:rsid w:val="00675EB0"/>
    <w:rsid w:val="006811D5"/>
    <w:rsid w:val="00681E9C"/>
    <w:rsid w:val="00692D3A"/>
    <w:rsid w:val="006A1CD1"/>
    <w:rsid w:val="006A5E7C"/>
    <w:rsid w:val="006A675A"/>
    <w:rsid w:val="006B2BD6"/>
    <w:rsid w:val="006C25C8"/>
    <w:rsid w:val="006E3D8A"/>
    <w:rsid w:val="006F1395"/>
    <w:rsid w:val="0071177F"/>
    <w:rsid w:val="00725D20"/>
    <w:rsid w:val="00726241"/>
    <w:rsid w:val="00735036"/>
    <w:rsid w:val="00735712"/>
    <w:rsid w:val="00750CD6"/>
    <w:rsid w:val="00762614"/>
    <w:rsid w:val="00767846"/>
    <w:rsid w:val="00775967"/>
    <w:rsid w:val="007824B3"/>
    <w:rsid w:val="00793FD4"/>
    <w:rsid w:val="007974B3"/>
    <w:rsid w:val="007B26B3"/>
    <w:rsid w:val="007C5985"/>
    <w:rsid w:val="007C7561"/>
    <w:rsid w:val="007F4FED"/>
    <w:rsid w:val="0082083D"/>
    <w:rsid w:val="0083035C"/>
    <w:rsid w:val="00832737"/>
    <w:rsid w:val="00880C04"/>
    <w:rsid w:val="00882B6E"/>
    <w:rsid w:val="008921A8"/>
    <w:rsid w:val="008941C1"/>
    <w:rsid w:val="00895DFD"/>
    <w:rsid w:val="008B48BF"/>
    <w:rsid w:val="008D60DA"/>
    <w:rsid w:val="008D7F77"/>
    <w:rsid w:val="008F6415"/>
    <w:rsid w:val="00901851"/>
    <w:rsid w:val="00902348"/>
    <w:rsid w:val="0091092A"/>
    <w:rsid w:val="00926EE2"/>
    <w:rsid w:val="00936FA4"/>
    <w:rsid w:val="00950494"/>
    <w:rsid w:val="00955D2A"/>
    <w:rsid w:val="00956CFF"/>
    <w:rsid w:val="009615F4"/>
    <w:rsid w:val="00975B41"/>
    <w:rsid w:val="009914BC"/>
    <w:rsid w:val="0099465C"/>
    <w:rsid w:val="009A10FD"/>
    <w:rsid w:val="009A6612"/>
    <w:rsid w:val="009B1192"/>
    <w:rsid w:val="009B2A52"/>
    <w:rsid w:val="009C6019"/>
    <w:rsid w:val="009E066B"/>
    <w:rsid w:val="009E14E7"/>
    <w:rsid w:val="009F038A"/>
    <w:rsid w:val="00A41626"/>
    <w:rsid w:val="00A54C74"/>
    <w:rsid w:val="00A57E3D"/>
    <w:rsid w:val="00A6394A"/>
    <w:rsid w:val="00A63EFF"/>
    <w:rsid w:val="00AB0B75"/>
    <w:rsid w:val="00AB7C66"/>
    <w:rsid w:val="00AE12EB"/>
    <w:rsid w:val="00B14F84"/>
    <w:rsid w:val="00B423F0"/>
    <w:rsid w:val="00B45E93"/>
    <w:rsid w:val="00B754D7"/>
    <w:rsid w:val="00B777BC"/>
    <w:rsid w:val="00BA03D3"/>
    <w:rsid w:val="00BA53BE"/>
    <w:rsid w:val="00BB55E1"/>
    <w:rsid w:val="00BC1B8F"/>
    <w:rsid w:val="00BC2756"/>
    <w:rsid w:val="00BD7397"/>
    <w:rsid w:val="00C1671F"/>
    <w:rsid w:val="00C176B7"/>
    <w:rsid w:val="00C251BE"/>
    <w:rsid w:val="00C27298"/>
    <w:rsid w:val="00C3070A"/>
    <w:rsid w:val="00C41CFA"/>
    <w:rsid w:val="00C4760B"/>
    <w:rsid w:val="00C54D72"/>
    <w:rsid w:val="00C60BF1"/>
    <w:rsid w:val="00C722B5"/>
    <w:rsid w:val="00C77A02"/>
    <w:rsid w:val="00C77D3B"/>
    <w:rsid w:val="00C8039A"/>
    <w:rsid w:val="00C808B9"/>
    <w:rsid w:val="00C95D46"/>
    <w:rsid w:val="00CA0E2F"/>
    <w:rsid w:val="00CB1C9D"/>
    <w:rsid w:val="00CB6C68"/>
    <w:rsid w:val="00CC47A4"/>
    <w:rsid w:val="00CD45B5"/>
    <w:rsid w:val="00CE34A8"/>
    <w:rsid w:val="00CF409C"/>
    <w:rsid w:val="00CF667B"/>
    <w:rsid w:val="00D07956"/>
    <w:rsid w:val="00D22121"/>
    <w:rsid w:val="00D24590"/>
    <w:rsid w:val="00D36BF4"/>
    <w:rsid w:val="00D40D86"/>
    <w:rsid w:val="00D415AE"/>
    <w:rsid w:val="00D50836"/>
    <w:rsid w:val="00D51310"/>
    <w:rsid w:val="00D56B34"/>
    <w:rsid w:val="00D67322"/>
    <w:rsid w:val="00D81722"/>
    <w:rsid w:val="00D82AB4"/>
    <w:rsid w:val="00D867E4"/>
    <w:rsid w:val="00D928DD"/>
    <w:rsid w:val="00D93446"/>
    <w:rsid w:val="00DA3624"/>
    <w:rsid w:val="00DA4867"/>
    <w:rsid w:val="00DA69D0"/>
    <w:rsid w:val="00DB4361"/>
    <w:rsid w:val="00DC25DA"/>
    <w:rsid w:val="00DC365F"/>
    <w:rsid w:val="00DD070B"/>
    <w:rsid w:val="00DD1FBE"/>
    <w:rsid w:val="00DD3A5C"/>
    <w:rsid w:val="00DD4BBD"/>
    <w:rsid w:val="00DD5238"/>
    <w:rsid w:val="00DF6A03"/>
    <w:rsid w:val="00E10E47"/>
    <w:rsid w:val="00E3477C"/>
    <w:rsid w:val="00E36642"/>
    <w:rsid w:val="00E403EB"/>
    <w:rsid w:val="00E56309"/>
    <w:rsid w:val="00E717D4"/>
    <w:rsid w:val="00E75ED8"/>
    <w:rsid w:val="00E84B7D"/>
    <w:rsid w:val="00E91B95"/>
    <w:rsid w:val="00EA28EE"/>
    <w:rsid w:val="00EB29D3"/>
    <w:rsid w:val="00EB4F51"/>
    <w:rsid w:val="00EC3B4B"/>
    <w:rsid w:val="00ED4C73"/>
    <w:rsid w:val="00EE1DCD"/>
    <w:rsid w:val="00EE3C7D"/>
    <w:rsid w:val="00EE43B1"/>
    <w:rsid w:val="00EF0137"/>
    <w:rsid w:val="00EF20A6"/>
    <w:rsid w:val="00EF7175"/>
    <w:rsid w:val="00F017C4"/>
    <w:rsid w:val="00F04161"/>
    <w:rsid w:val="00F234D8"/>
    <w:rsid w:val="00F325A4"/>
    <w:rsid w:val="00F40050"/>
    <w:rsid w:val="00F563EF"/>
    <w:rsid w:val="00F63515"/>
    <w:rsid w:val="00F64DB7"/>
    <w:rsid w:val="00F6675C"/>
    <w:rsid w:val="00F71C9A"/>
    <w:rsid w:val="00F730FB"/>
    <w:rsid w:val="00F768C1"/>
    <w:rsid w:val="00F802E2"/>
    <w:rsid w:val="00F814DE"/>
    <w:rsid w:val="00F82BDF"/>
    <w:rsid w:val="00FC78B8"/>
    <w:rsid w:val="00FC7C06"/>
    <w:rsid w:val="00FD7C53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7F1F"/>
  <w15:chartTrackingRefBased/>
  <w15:docId w15:val="{D2AD8F70-7BFF-4DB0-BB45-F8303C48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E7389"/>
  </w:style>
  <w:style w:type="paragraph" w:styleId="Intestazione">
    <w:name w:val="header"/>
    <w:basedOn w:val="Normale"/>
    <w:link w:val="IntestazioneCarattere"/>
    <w:uiPriority w:val="99"/>
    <w:unhideWhenUsed/>
    <w:rsid w:val="0021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DAA"/>
  </w:style>
  <w:style w:type="paragraph" w:styleId="Pidipagina">
    <w:name w:val="footer"/>
    <w:basedOn w:val="Normale"/>
    <w:link w:val="PidipaginaCarattere"/>
    <w:uiPriority w:val="99"/>
    <w:unhideWhenUsed/>
    <w:rsid w:val="0021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DAA"/>
  </w:style>
  <w:style w:type="character" w:styleId="Collegamentoipertestuale">
    <w:name w:val="Hyperlink"/>
    <w:basedOn w:val="Carpredefinitoparagrafo"/>
    <w:uiPriority w:val="99"/>
    <w:unhideWhenUsed/>
    <w:rsid w:val="00215DAA"/>
    <w:rPr>
      <w:color w:val="01478B"/>
      <w:u w:val="single"/>
    </w:rPr>
  </w:style>
  <w:style w:type="paragraph" w:styleId="NormaleWeb">
    <w:name w:val="Normal (Web)"/>
    <w:basedOn w:val="Normale"/>
    <w:uiPriority w:val="99"/>
    <w:unhideWhenUsed/>
    <w:rsid w:val="00215DAA"/>
    <w:pPr>
      <w:spacing w:after="0" w:line="216" w:lineRule="atLeast"/>
    </w:pPr>
    <w:rPr>
      <w:rFonts w:ascii="Calibri" w:hAnsi="Calibri" w:cs="Calibri"/>
      <w:kern w:val="0"/>
      <w:lang w:eastAsia="it-IT"/>
      <w14:ligatures w14:val="none"/>
    </w:rPr>
  </w:style>
  <w:style w:type="paragraph" w:customStyle="1" w:styleId="title1">
    <w:name w:val="title1"/>
    <w:basedOn w:val="Normale"/>
    <w:uiPriority w:val="99"/>
    <w:semiHidden/>
    <w:rsid w:val="00215DAA"/>
    <w:pPr>
      <w:spacing w:after="30" w:line="420" w:lineRule="atLeast"/>
    </w:pPr>
    <w:rPr>
      <w:rFonts w:ascii="Helvetica" w:hAnsi="Helvetica" w:cs="Calibri"/>
      <w:b/>
      <w:bCs/>
      <w:color w:val="333333"/>
      <w:kern w:val="0"/>
      <w:sz w:val="42"/>
      <w:szCs w:val="42"/>
      <w:lang w:eastAsia="it-IT"/>
      <w14:ligatures w14:val="none"/>
    </w:rPr>
  </w:style>
  <w:style w:type="paragraph" w:customStyle="1" w:styleId="subtitle1">
    <w:name w:val="subtitle1"/>
    <w:basedOn w:val="Normale"/>
    <w:uiPriority w:val="99"/>
    <w:semiHidden/>
    <w:rsid w:val="00215DAA"/>
    <w:pPr>
      <w:spacing w:after="0" w:line="216" w:lineRule="atLeast"/>
    </w:pPr>
    <w:rPr>
      <w:rFonts w:ascii="Calibri" w:hAnsi="Calibri" w:cs="Calibri"/>
      <w:kern w:val="0"/>
      <w:sz w:val="30"/>
      <w:szCs w:val="3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215DAA"/>
    <w:rPr>
      <w:i/>
      <w:iCs/>
    </w:rPr>
  </w:style>
  <w:style w:type="paragraph" w:styleId="Paragrafoelenco">
    <w:name w:val="List Paragraph"/>
    <w:basedOn w:val="Normale"/>
    <w:uiPriority w:val="34"/>
    <w:qFormat/>
    <w:rsid w:val="00502F9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F5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805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9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322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175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.astorri@confindustr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Astorri Paola</dc:creator>
  <cp:keywords/>
  <dc:description/>
  <cp:lastModifiedBy>Astorri Paola</cp:lastModifiedBy>
  <cp:revision>79</cp:revision>
  <dcterms:created xsi:type="dcterms:W3CDTF">2023-12-12T14:35:00Z</dcterms:created>
  <dcterms:modified xsi:type="dcterms:W3CDTF">2024-03-19T09:58:00Z</dcterms:modified>
</cp:coreProperties>
</file>